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7EE9B" w14:textId="456C71AC" w:rsidR="005C18FB" w:rsidRDefault="00E07170" w:rsidP="00E81D29">
      <w:pPr>
        <w:wordWrap/>
        <w:spacing w:after="0" w:line="240" w:lineRule="auto"/>
        <w:jc w:val="center"/>
        <w:rPr>
          <w:rFonts w:ascii="Arial" w:hAnsi="Arial" w:cs="Arial"/>
          <w:b/>
          <w:sz w:val="28"/>
          <w:szCs w:val="28"/>
        </w:rPr>
      </w:pPr>
      <w:r>
        <w:rPr>
          <w:rFonts w:ascii="Arial" w:hAnsi="Arial" w:cs="Arial"/>
          <w:b/>
          <w:sz w:val="28"/>
          <w:szCs w:val="28"/>
        </w:rPr>
        <w:t xml:space="preserve">Stellantis and </w:t>
      </w:r>
      <w:r w:rsidR="00531AAB">
        <w:rPr>
          <w:rFonts w:ascii="Arial" w:hAnsi="Arial" w:cs="Arial"/>
          <w:b/>
          <w:sz w:val="28"/>
          <w:szCs w:val="28"/>
        </w:rPr>
        <w:t>Samsung SDI</w:t>
      </w:r>
      <w:r w:rsidR="005C18FB" w:rsidRPr="005C18FB">
        <w:rPr>
          <w:rFonts w:ascii="Arial" w:hAnsi="Arial" w:cs="Arial"/>
          <w:b/>
          <w:sz w:val="28"/>
          <w:szCs w:val="28"/>
        </w:rPr>
        <w:t xml:space="preserve"> </w:t>
      </w:r>
      <w:r w:rsidR="007D2F7F">
        <w:rPr>
          <w:rFonts w:ascii="Arial" w:hAnsi="Arial" w:cs="Arial"/>
          <w:b/>
          <w:sz w:val="28"/>
          <w:szCs w:val="28"/>
        </w:rPr>
        <w:t xml:space="preserve">to </w:t>
      </w:r>
      <w:r w:rsidR="005336A5" w:rsidRPr="005C18FB">
        <w:rPr>
          <w:rFonts w:ascii="Arial" w:hAnsi="Arial" w:cs="Arial"/>
          <w:b/>
          <w:sz w:val="28"/>
          <w:szCs w:val="28"/>
        </w:rPr>
        <w:t>F</w:t>
      </w:r>
      <w:r w:rsidR="005336A5">
        <w:rPr>
          <w:rFonts w:ascii="Arial" w:hAnsi="Arial" w:cs="Arial"/>
          <w:b/>
          <w:sz w:val="28"/>
          <w:szCs w:val="28"/>
        </w:rPr>
        <w:t>orm</w:t>
      </w:r>
      <w:r w:rsidR="005336A5" w:rsidRPr="005C18FB">
        <w:rPr>
          <w:rFonts w:ascii="Arial" w:hAnsi="Arial" w:cs="Arial"/>
          <w:b/>
          <w:sz w:val="28"/>
          <w:szCs w:val="28"/>
        </w:rPr>
        <w:t xml:space="preserve"> J</w:t>
      </w:r>
      <w:r w:rsidR="005336A5">
        <w:rPr>
          <w:rFonts w:ascii="Arial" w:hAnsi="Arial" w:cs="Arial"/>
          <w:b/>
          <w:sz w:val="28"/>
          <w:szCs w:val="28"/>
        </w:rPr>
        <w:t>oint</w:t>
      </w:r>
      <w:r w:rsidR="005336A5" w:rsidRPr="005C18FB">
        <w:rPr>
          <w:rFonts w:ascii="Arial" w:hAnsi="Arial" w:cs="Arial"/>
          <w:b/>
          <w:sz w:val="28"/>
          <w:szCs w:val="28"/>
        </w:rPr>
        <w:t xml:space="preserve"> V</w:t>
      </w:r>
      <w:r w:rsidR="005336A5">
        <w:rPr>
          <w:rFonts w:ascii="Arial" w:hAnsi="Arial" w:cs="Arial"/>
          <w:b/>
          <w:sz w:val="28"/>
          <w:szCs w:val="28"/>
        </w:rPr>
        <w:t>enture</w:t>
      </w:r>
      <w:r w:rsidR="005336A5" w:rsidRPr="005C18FB">
        <w:rPr>
          <w:rFonts w:ascii="Arial" w:hAnsi="Arial" w:cs="Arial"/>
          <w:b/>
          <w:sz w:val="28"/>
          <w:szCs w:val="28"/>
        </w:rPr>
        <w:t xml:space="preserve"> </w:t>
      </w:r>
      <w:r w:rsidR="00D74DE2">
        <w:rPr>
          <w:rFonts w:ascii="Arial" w:hAnsi="Arial" w:cs="Arial"/>
          <w:b/>
          <w:sz w:val="28"/>
          <w:szCs w:val="28"/>
        </w:rPr>
        <w:t xml:space="preserve">for </w:t>
      </w:r>
      <w:r w:rsidR="005336A5">
        <w:rPr>
          <w:rFonts w:ascii="Arial" w:hAnsi="Arial" w:cs="Arial"/>
          <w:b/>
          <w:sz w:val="28"/>
          <w:szCs w:val="28"/>
        </w:rPr>
        <w:t>Lithium-Ion</w:t>
      </w:r>
      <w:r w:rsidR="005C18FB" w:rsidRPr="003628BB">
        <w:rPr>
          <w:rFonts w:ascii="Arial" w:hAnsi="Arial" w:cs="Arial"/>
          <w:b/>
          <w:sz w:val="28"/>
          <w:szCs w:val="28"/>
        </w:rPr>
        <w:t xml:space="preserve"> </w:t>
      </w:r>
      <w:r w:rsidR="005336A5" w:rsidRPr="003628BB">
        <w:rPr>
          <w:rFonts w:ascii="Arial" w:hAnsi="Arial" w:cs="Arial"/>
          <w:b/>
          <w:sz w:val="28"/>
          <w:szCs w:val="28"/>
        </w:rPr>
        <w:t>B</w:t>
      </w:r>
      <w:r w:rsidR="005336A5">
        <w:rPr>
          <w:rFonts w:ascii="Arial" w:hAnsi="Arial" w:cs="Arial"/>
          <w:b/>
          <w:sz w:val="28"/>
          <w:szCs w:val="28"/>
        </w:rPr>
        <w:t>attery</w:t>
      </w:r>
      <w:r w:rsidR="005336A5" w:rsidRPr="003628BB">
        <w:rPr>
          <w:rFonts w:ascii="Arial" w:hAnsi="Arial" w:cs="Arial"/>
          <w:b/>
          <w:sz w:val="28"/>
          <w:szCs w:val="28"/>
        </w:rPr>
        <w:t xml:space="preserve"> P</w:t>
      </w:r>
      <w:r w:rsidR="005336A5">
        <w:rPr>
          <w:rFonts w:ascii="Arial" w:hAnsi="Arial" w:cs="Arial"/>
          <w:b/>
          <w:sz w:val="28"/>
          <w:szCs w:val="28"/>
        </w:rPr>
        <w:t>roduction</w:t>
      </w:r>
      <w:r w:rsidR="005336A5" w:rsidRPr="003628BB">
        <w:rPr>
          <w:rFonts w:ascii="Arial" w:hAnsi="Arial" w:cs="Arial"/>
          <w:b/>
          <w:sz w:val="28"/>
          <w:szCs w:val="28"/>
        </w:rPr>
        <w:t xml:space="preserve"> </w:t>
      </w:r>
      <w:r w:rsidR="005336A5">
        <w:rPr>
          <w:rFonts w:ascii="Arial" w:hAnsi="Arial" w:cs="Arial"/>
          <w:b/>
          <w:sz w:val="28"/>
          <w:szCs w:val="28"/>
        </w:rPr>
        <w:t>in</w:t>
      </w:r>
      <w:r w:rsidR="005C18FB" w:rsidRPr="003628BB">
        <w:rPr>
          <w:rFonts w:ascii="Arial" w:hAnsi="Arial" w:cs="Arial"/>
          <w:b/>
          <w:sz w:val="28"/>
          <w:szCs w:val="28"/>
        </w:rPr>
        <w:t xml:space="preserve"> </w:t>
      </w:r>
      <w:r w:rsidR="005336A5" w:rsidRPr="003628BB">
        <w:rPr>
          <w:rFonts w:ascii="Arial" w:hAnsi="Arial" w:cs="Arial"/>
          <w:b/>
          <w:sz w:val="28"/>
          <w:szCs w:val="28"/>
        </w:rPr>
        <w:t>N</w:t>
      </w:r>
      <w:r w:rsidR="005336A5">
        <w:rPr>
          <w:rFonts w:ascii="Arial" w:hAnsi="Arial" w:cs="Arial"/>
          <w:b/>
          <w:sz w:val="28"/>
          <w:szCs w:val="28"/>
        </w:rPr>
        <w:t>orth</w:t>
      </w:r>
      <w:r w:rsidR="005336A5" w:rsidRPr="003628BB">
        <w:rPr>
          <w:rFonts w:ascii="Arial" w:hAnsi="Arial" w:cs="Arial"/>
          <w:b/>
          <w:sz w:val="28"/>
          <w:szCs w:val="28"/>
        </w:rPr>
        <w:t xml:space="preserve"> A</w:t>
      </w:r>
      <w:r w:rsidR="005336A5">
        <w:rPr>
          <w:rFonts w:ascii="Arial" w:hAnsi="Arial" w:cs="Arial"/>
          <w:b/>
          <w:sz w:val="28"/>
          <w:szCs w:val="28"/>
        </w:rPr>
        <w:t>merica</w:t>
      </w:r>
    </w:p>
    <w:p w14:paraId="163B3E5D" w14:textId="77777777" w:rsidR="00C628B0" w:rsidRDefault="00C628B0" w:rsidP="00830308">
      <w:pPr>
        <w:spacing w:after="0" w:line="240" w:lineRule="auto"/>
        <w:jc w:val="center"/>
        <w:rPr>
          <w:rFonts w:ascii="Arial" w:hAnsi="Arial" w:cs="Arial"/>
          <w:b/>
          <w:sz w:val="28"/>
          <w:szCs w:val="28"/>
        </w:rPr>
      </w:pPr>
    </w:p>
    <w:p w14:paraId="5BF4DA4A" w14:textId="5DC394B1" w:rsidR="00572F5B" w:rsidRPr="00F0146E" w:rsidRDefault="00572F5B" w:rsidP="00572F5B">
      <w:pPr>
        <w:widowControl/>
        <w:numPr>
          <w:ilvl w:val="0"/>
          <w:numId w:val="1"/>
        </w:numPr>
        <w:wordWrap/>
        <w:autoSpaceDE/>
        <w:autoSpaceDN/>
        <w:spacing w:after="0" w:line="240" w:lineRule="auto"/>
        <w:jc w:val="left"/>
        <w:textAlignment w:val="baseline"/>
        <w:rPr>
          <w:rFonts w:ascii="Arial" w:eastAsia="Times New Roman" w:hAnsi="Arial" w:cs="Arial"/>
          <w:sz w:val="24"/>
          <w:szCs w:val="24"/>
        </w:rPr>
      </w:pPr>
      <w:r>
        <w:rPr>
          <w:rFonts w:ascii="Arial" w:eastAsia="Times New Roman" w:hAnsi="Arial" w:cs="Arial"/>
          <w:sz w:val="24"/>
          <w:szCs w:val="24"/>
          <w:shd w:val="clear" w:color="auto" w:fill="FFFFFF"/>
        </w:rPr>
        <w:t xml:space="preserve">Will be one of </w:t>
      </w:r>
      <w:r w:rsidR="000B4467">
        <w:rPr>
          <w:rFonts w:ascii="Arial" w:eastAsia="Times New Roman" w:hAnsi="Arial" w:cs="Arial"/>
          <w:sz w:val="24"/>
          <w:szCs w:val="24"/>
          <w:shd w:val="clear" w:color="auto" w:fill="FFFFFF"/>
        </w:rPr>
        <w:t xml:space="preserve">multiple </w:t>
      </w:r>
      <w:r>
        <w:rPr>
          <w:rFonts w:ascii="Arial" w:eastAsia="Times New Roman" w:hAnsi="Arial" w:cs="Arial"/>
          <w:sz w:val="24"/>
          <w:szCs w:val="24"/>
          <w:shd w:val="clear" w:color="auto" w:fill="FFFFFF"/>
        </w:rPr>
        <w:t xml:space="preserve">battery plants dedicated to Stellantis electric vehicle production in region  </w:t>
      </w:r>
    </w:p>
    <w:p w14:paraId="60E37924" w14:textId="1101718C" w:rsidR="002376AE" w:rsidRDefault="00F0146E" w:rsidP="00830308">
      <w:pPr>
        <w:widowControl/>
        <w:numPr>
          <w:ilvl w:val="0"/>
          <w:numId w:val="1"/>
        </w:numPr>
        <w:wordWrap/>
        <w:autoSpaceDE/>
        <w:autoSpaceDN/>
        <w:spacing w:after="0" w:line="240" w:lineRule="auto"/>
        <w:jc w:val="left"/>
        <w:textAlignment w:val="baseline"/>
        <w:rPr>
          <w:rFonts w:ascii="Arial" w:eastAsia="Times New Roman" w:hAnsi="Arial" w:cs="Arial"/>
          <w:sz w:val="24"/>
          <w:szCs w:val="24"/>
        </w:rPr>
      </w:pPr>
      <w:r w:rsidRPr="00F0146E">
        <w:rPr>
          <w:rFonts w:ascii="Arial" w:eastAsia="Times New Roman" w:hAnsi="Arial" w:cs="Arial"/>
          <w:sz w:val="24"/>
          <w:szCs w:val="24"/>
        </w:rPr>
        <w:t>New battery plant to have</w:t>
      </w:r>
      <w:r w:rsidR="002376AE">
        <w:rPr>
          <w:rFonts w:ascii="Arial" w:eastAsia="Times New Roman" w:hAnsi="Arial" w:cs="Arial"/>
          <w:sz w:val="24"/>
          <w:szCs w:val="24"/>
        </w:rPr>
        <w:t xml:space="preserve"> an initial </w:t>
      </w:r>
      <w:r w:rsidRPr="00F0146E">
        <w:rPr>
          <w:rFonts w:ascii="Arial" w:eastAsia="Times New Roman" w:hAnsi="Arial" w:cs="Arial"/>
          <w:sz w:val="24"/>
          <w:szCs w:val="24"/>
        </w:rPr>
        <w:t xml:space="preserve">annual production capacity of </w:t>
      </w:r>
      <w:r w:rsidR="00531AAB" w:rsidRPr="00056A45">
        <w:rPr>
          <w:rFonts w:ascii="Arial" w:eastAsia="Times New Roman" w:hAnsi="Arial" w:cs="Arial"/>
          <w:sz w:val="24"/>
          <w:szCs w:val="24"/>
        </w:rPr>
        <w:t>23</w:t>
      </w:r>
      <w:r w:rsidRPr="00056A45">
        <w:rPr>
          <w:rFonts w:ascii="Arial" w:eastAsia="Times New Roman" w:hAnsi="Arial" w:cs="Arial"/>
          <w:sz w:val="24"/>
          <w:szCs w:val="24"/>
        </w:rPr>
        <w:t xml:space="preserve"> gigawatt hour</w:t>
      </w:r>
      <w:r w:rsidRPr="00F21B43">
        <w:rPr>
          <w:rFonts w:ascii="Arial" w:eastAsia="Times New Roman" w:hAnsi="Arial" w:cs="Arial"/>
          <w:sz w:val="24"/>
          <w:szCs w:val="24"/>
        </w:rPr>
        <w:t>s</w:t>
      </w:r>
      <w:r w:rsidR="00C4557F">
        <w:rPr>
          <w:rFonts w:ascii="Arial" w:eastAsia="Times New Roman" w:hAnsi="Arial" w:cs="Arial"/>
          <w:sz w:val="24"/>
          <w:szCs w:val="24"/>
        </w:rPr>
        <w:t>,</w:t>
      </w:r>
      <w:r w:rsidR="002376AE">
        <w:rPr>
          <w:rFonts w:ascii="Arial" w:eastAsia="Times New Roman" w:hAnsi="Arial" w:cs="Arial"/>
          <w:sz w:val="24"/>
          <w:szCs w:val="24"/>
        </w:rPr>
        <w:t xml:space="preserve"> ability to </w:t>
      </w:r>
      <w:r w:rsidR="00C4557F">
        <w:rPr>
          <w:rFonts w:ascii="Arial" w:eastAsia="Times New Roman" w:hAnsi="Arial" w:cs="Arial"/>
          <w:sz w:val="24"/>
          <w:szCs w:val="24"/>
        </w:rPr>
        <w:t xml:space="preserve">increase up to </w:t>
      </w:r>
      <w:r w:rsidR="002376AE">
        <w:rPr>
          <w:rFonts w:ascii="Arial" w:eastAsia="Times New Roman" w:hAnsi="Arial" w:cs="Arial"/>
          <w:sz w:val="24"/>
          <w:szCs w:val="24"/>
        </w:rPr>
        <w:t>40 gigawatt</w:t>
      </w:r>
      <w:r w:rsidR="00C4557F">
        <w:rPr>
          <w:rFonts w:ascii="Arial" w:eastAsia="Times New Roman" w:hAnsi="Arial" w:cs="Arial"/>
          <w:sz w:val="24"/>
          <w:szCs w:val="24"/>
        </w:rPr>
        <w:t xml:space="preserve"> hours</w:t>
      </w:r>
    </w:p>
    <w:p w14:paraId="4CFDDD84" w14:textId="5F45CA49" w:rsidR="00F0146E" w:rsidRPr="00F0146E" w:rsidRDefault="002376AE" w:rsidP="00830308">
      <w:pPr>
        <w:widowControl/>
        <w:numPr>
          <w:ilvl w:val="0"/>
          <w:numId w:val="1"/>
        </w:numPr>
        <w:wordWrap/>
        <w:autoSpaceDE/>
        <w:autoSpaceDN/>
        <w:spacing w:after="0" w:line="240" w:lineRule="auto"/>
        <w:jc w:val="left"/>
        <w:textAlignment w:val="baseline"/>
        <w:rPr>
          <w:rFonts w:ascii="Arial" w:eastAsia="Times New Roman" w:hAnsi="Arial" w:cs="Arial"/>
          <w:sz w:val="24"/>
          <w:szCs w:val="24"/>
        </w:rPr>
      </w:pPr>
      <w:r>
        <w:rPr>
          <w:rFonts w:ascii="Arial" w:eastAsia="Times New Roman" w:hAnsi="Arial" w:cs="Arial"/>
          <w:sz w:val="24"/>
          <w:szCs w:val="24"/>
        </w:rPr>
        <w:t>Plant t</w:t>
      </w:r>
      <w:r w:rsidR="00F0146E" w:rsidRPr="00F0146E">
        <w:rPr>
          <w:rFonts w:ascii="Arial" w:eastAsia="Times New Roman" w:hAnsi="Arial" w:cs="Arial"/>
          <w:sz w:val="24"/>
          <w:szCs w:val="24"/>
        </w:rPr>
        <w:t>arget</w:t>
      </w:r>
      <w:r w:rsidR="009C61CF">
        <w:rPr>
          <w:rFonts w:ascii="Arial" w:eastAsia="Times New Roman" w:hAnsi="Arial" w:cs="Arial"/>
          <w:sz w:val="24"/>
          <w:szCs w:val="24"/>
        </w:rPr>
        <w:t>ed</w:t>
      </w:r>
      <w:r w:rsidR="00F0146E" w:rsidRPr="00F0146E">
        <w:rPr>
          <w:rFonts w:ascii="Arial" w:eastAsia="Times New Roman" w:hAnsi="Arial" w:cs="Arial"/>
          <w:sz w:val="24"/>
          <w:szCs w:val="24"/>
        </w:rPr>
        <w:t xml:space="preserve"> to </w:t>
      </w:r>
      <w:r>
        <w:rPr>
          <w:rFonts w:ascii="Arial" w:eastAsia="Times New Roman" w:hAnsi="Arial" w:cs="Arial"/>
          <w:sz w:val="24"/>
          <w:szCs w:val="24"/>
        </w:rPr>
        <w:t xml:space="preserve">start </w:t>
      </w:r>
      <w:r w:rsidR="00FC360E">
        <w:rPr>
          <w:rFonts w:ascii="Arial" w:eastAsia="Times New Roman" w:hAnsi="Arial" w:cs="Arial"/>
          <w:sz w:val="24"/>
          <w:szCs w:val="24"/>
        </w:rPr>
        <w:t>in 2025</w:t>
      </w:r>
    </w:p>
    <w:p w14:paraId="67F5267A" w14:textId="77777777" w:rsidR="0007479D" w:rsidRDefault="0007479D" w:rsidP="00C61A4B">
      <w:pPr>
        <w:rPr>
          <w:rFonts w:ascii="Arial" w:hAnsi="Arial" w:cs="Arial"/>
          <w:b/>
          <w:sz w:val="22"/>
        </w:rPr>
      </w:pPr>
    </w:p>
    <w:p w14:paraId="291756BE" w14:textId="0965A086" w:rsidR="00C61A4B" w:rsidRDefault="005A49A6" w:rsidP="00830308">
      <w:pPr>
        <w:spacing w:after="0" w:line="240" w:lineRule="auto"/>
        <w:rPr>
          <w:rFonts w:ascii="Arial" w:eastAsia="Times New Roman" w:hAnsi="Arial" w:cs="Arial"/>
          <w:sz w:val="22"/>
          <w:shd w:val="clear" w:color="auto" w:fill="FFFFFF"/>
        </w:rPr>
      </w:pPr>
      <w:r>
        <w:rPr>
          <w:rFonts w:ascii="Arial" w:hAnsi="Arial" w:cs="Arial"/>
          <w:b/>
          <w:sz w:val="22"/>
        </w:rPr>
        <w:t>AMSTERDAM</w:t>
      </w:r>
      <w:r w:rsidR="005C18FB" w:rsidRPr="00E05AEF">
        <w:rPr>
          <w:rFonts w:ascii="Arial" w:hAnsi="Arial" w:cs="Arial"/>
          <w:b/>
          <w:sz w:val="22"/>
        </w:rPr>
        <w:t xml:space="preserve">, </w:t>
      </w:r>
      <w:r w:rsidR="005C18FB">
        <w:rPr>
          <w:rFonts w:ascii="Arial" w:hAnsi="Arial" w:cs="Arial"/>
          <w:b/>
          <w:sz w:val="22"/>
        </w:rPr>
        <w:t xml:space="preserve">October </w:t>
      </w:r>
      <w:r w:rsidR="00B91785">
        <w:rPr>
          <w:rFonts w:ascii="Arial" w:hAnsi="Arial" w:cs="Arial"/>
          <w:b/>
          <w:sz w:val="22"/>
        </w:rPr>
        <w:t>22</w:t>
      </w:r>
      <w:r w:rsidR="005C18FB">
        <w:rPr>
          <w:rFonts w:ascii="Arial" w:hAnsi="Arial" w:cs="Arial"/>
          <w:b/>
          <w:sz w:val="22"/>
        </w:rPr>
        <w:t>,</w:t>
      </w:r>
      <w:r w:rsidR="005C18FB" w:rsidRPr="00E05AEF">
        <w:rPr>
          <w:rFonts w:ascii="Arial" w:hAnsi="Arial" w:cs="Arial"/>
          <w:b/>
          <w:sz w:val="22"/>
        </w:rPr>
        <w:t xml:space="preserve"> 2021</w:t>
      </w:r>
      <w:r w:rsidR="00D74CC8">
        <w:rPr>
          <w:rFonts w:ascii="Arial" w:hAnsi="Arial" w:cs="Arial"/>
          <w:b/>
          <w:bCs/>
          <w:sz w:val="22"/>
          <w:lang w:val="en-CA"/>
        </w:rPr>
        <w:t xml:space="preserve"> - </w:t>
      </w:r>
      <w:hyperlink r:id="rId7" w:history="1">
        <w:r w:rsidR="00E07170" w:rsidRPr="007D2F7F">
          <w:rPr>
            <w:rStyle w:val="Hyperlink"/>
            <w:rFonts w:ascii="Arial" w:eastAsia="Times New Roman" w:hAnsi="Arial" w:cs="Arial"/>
            <w:sz w:val="22"/>
            <w:shd w:val="clear" w:color="auto" w:fill="FFFFFF"/>
          </w:rPr>
          <w:t>Stellantis N.V.</w:t>
        </w:r>
      </w:hyperlink>
      <w:r w:rsidR="00E07170" w:rsidRPr="007D2F7F">
        <w:rPr>
          <w:rFonts w:ascii="Arial" w:eastAsia="Times New Roman" w:hAnsi="Arial" w:cs="Arial"/>
          <w:sz w:val="22"/>
          <w:shd w:val="clear" w:color="auto" w:fill="FFFFFF"/>
        </w:rPr>
        <w:t xml:space="preserve"> (NYSE / MTA / Euronext Paris: STLA)</w:t>
      </w:r>
      <w:r w:rsidR="00E07170">
        <w:rPr>
          <w:rFonts w:ascii="Arial" w:eastAsia="Times New Roman" w:hAnsi="Arial" w:cs="Arial"/>
          <w:sz w:val="22"/>
          <w:shd w:val="clear" w:color="auto" w:fill="FFFFFF"/>
        </w:rPr>
        <w:t xml:space="preserve"> and </w:t>
      </w:r>
      <w:r w:rsidR="00FC360E">
        <w:rPr>
          <w:rFonts w:ascii="Arial" w:hAnsi="Arial" w:cs="Arial"/>
          <w:sz w:val="22"/>
        </w:rPr>
        <w:t>Samsung SDI</w:t>
      </w:r>
      <w:r w:rsidR="00E07170">
        <w:rPr>
          <w:rFonts w:ascii="Arial" w:eastAsia="Times New Roman" w:hAnsi="Arial" w:cs="Arial"/>
          <w:sz w:val="22"/>
          <w:shd w:val="clear" w:color="auto" w:fill="FFFFFF"/>
        </w:rPr>
        <w:t xml:space="preserve"> </w:t>
      </w:r>
      <w:r w:rsidR="007D2F7F">
        <w:rPr>
          <w:rFonts w:ascii="Arial" w:eastAsia="Times New Roman" w:hAnsi="Arial" w:cs="Arial"/>
          <w:sz w:val="22"/>
          <w:shd w:val="clear" w:color="auto" w:fill="FFFFFF"/>
        </w:rPr>
        <w:t xml:space="preserve">today announced that their </w:t>
      </w:r>
      <w:r w:rsidR="00C628B0">
        <w:rPr>
          <w:rFonts w:ascii="Arial" w:eastAsia="Times New Roman" w:hAnsi="Arial" w:cs="Arial"/>
          <w:sz w:val="22"/>
          <w:shd w:val="clear" w:color="auto" w:fill="FFFFFF"/>
        </w:rPr>
        <w:t>companies</w:t>
      </w:r>
      <w:r w:rsidR="005C18FB" w:rsidRPr="005C18FB">
        <w:rPr>
          <w:rFonts w:ascii="Arial" w:eastAsia="Times New Roman" w:hAnsi="Arial" w:cs="Arial"/>
          <w:sz w:val="22"/>
          <w:shd w:val="clear" w:color="auto" w:fill="FFFFFF"/>
        </w:rPr>
        <w:t xml:space="preserve"> have entered into a </w:t>
      </w:r>
      <w:r w:rsidR="005C18FB" w:rsidRPr="002C1C43">
        <w:rPr>
          <w:rFonts w:ascii="Arial" w:eastAsia="Times New Roman" w:hAnsi="Arial" w:cs="Arial"/>
          <w:sz w:val="22"/>
          <w:shd w:val="clear" w:color="auto" w:fill="FFFFFF"/>
        </w:rPr>
        <w:t>memorandum of understanding</w:t>
      </w:r>
      <w:r w:rsidR="005C18FB" w:rsidRPr="005C18FB">
        <w:rPr>
          <w:rFonts w:ascii="Arial" w:eastAsia="Times New Roman" w:hAnsi="Arial" w:cs="Arial"/>
          <w:sz w:val="22"/>
          <w:shd w:val="clear" w:color="auto" w:fill="FFFFFF"/>
        </w:rPr>
        <w:t xml:space="preserve"> to form a joint venture to produce battery cells</w:t>
      </w:r>
      <w:r w:rsidR="000D5583">
        <w:rPr>
          <w:rFonts w:ascii="Arial" w:eastAsia="Times New Roman" w:hAnsi="Arial" w:cs="Arial"/>
          <w:sz w:val="22"/>
          <w:shd w:val="clear" w:color="auto" w:fill="FFFFFF"/>
        </w:rPr>
        <w:t xml:space="preserve"> and modules for North America.</w:t>
      </w:r>
      <w:r w:rsidR="00572F5B">
        <w:rPr>
          <w:rFonts w:ascii="Arial" w:eastAsia="Times New Roman" w:hAnsi="Arial" w:cs="Arial"/>
          <w:sz w:val="22"/>
          <w:shd w:val="clear" w:color="auto" w:fill="FFFFFF"/>
        </w:rPr>
        <w:t xml:space="preserve"> </w:t>
      </w:r>
      <w:r w:rsidR="000D5583">
        <w:rPr>
          <w:rFonts w:ascii="Arial" w:eastAsia="Times New Roman" w:hAnsi="Arial" w:cs="Arial"/>
          <w:sz w:val="22"/>
          <w:shd w:val="clear" w:color="auto" w:fill="FFFFFF"/>
        </w:rPr>
        <w:t xml:space="preserve"> </w:t>
      </w:r>
      <w:r w:rsidR="003E6DAA" w:rsidRPr="00056A45">
        <w:rPr>
          <w:rFonts w:ascii="Arial" w:eastAsia="Times New Roman" w:hAnsi="Arial" w:cs="Arial"/>
          <w:sz w:val="22"/>
          <w:shd w:val="clear" w:color="auto" w:fill="FFFFFF"/>
        </w:rPr>
        <w:t>Targeted to start in 2025, the plant aims to</w:t>
      </w:r>
      <w:r w:rsidR="00C4557F">
        <w:rPr>
          <w:rFonts w:ascii="Arial" w:eastAsia="Times New Roman" w:hAnsi="Arial" w:cs="Arial"/>
          <w:sz w:val="22"/>
          <w:shd w:val="clear" w:color="auto" w:fill="FFFFFF"/>
        </w:rPr>
        <w:t xml:space="preserve"> have</w:t>
      </w:r>
      <w:r w:rsidR="00455EAF">
        <w:rPr>
          <w:rFonts w:ascii="Arial" w:eastAsia="Times New Roman" w:hAnsi="Arial" w:cs="Arial"/>
          <w:sz w:val="22"/>
          <w:shd w:val="clear" w:color="auto" w:fill="FFFFFF"/>
        </w:rPr>
        <w:t xml:space="preserve"> an </w:t>
      </w:r>
      <w:r w:rsidR="00455EAF" w:rsidRPr="002376AE">
        <w:rPr>
          <w:rFonts w:ascii="Arial" w:eastAsia="Times New Roman" w:hAnsi="Arial" w:cs="Arial"/>
          <w:sz w:val="22"/>
          <w:shd w:val="clear" w:color="auto" w:fill="FFFFFF"/>
        </w:rPr>
        <w:t>initial</w:t>
      </w:r>
      <w:r w:rsidR="00455EAF">
        <w:rPr>
          <w:rFonts w:ascii="Arial" w:eastAsia="Times New Roman" w:hAnsi="Arial" w:cs="Arial"/>
          <w:sz w:val="22"/>
          <w:shd w:val="clear" w:color="auto" w:fill="FFFFFF"/>
        </w:rPr>
        <w:t xml:space="preserve"> </w:t>
      </w:r>
      <w:r w:rsidR="003E6DAA" w:rsidRPr="00056A45">
        <w:rPr>
          <w:rFonts w:ascii="Arial" w:eastAsia="Times New Roman" w:hAnsi="Arial" w:cs="Arial"/>
          <w:sz w:val="22"/>
          <w:shd w:val="clear" w:color="auto" w:fill="FFFFFF"/>
        </w:rPr>
        <w:t xml:space="preserve">annual production capacity </w:t>
      </w:r>
      <w:r w:rsidR="00C4557F">
        <w:rPr>
          <w:rFonts w:ascii="Arial" w:eastAsia="Times New Roman" w:hAnsi="Arial" w:cs="Arial"/>
          <w:sz w:val="22"/>
          <w:shd w:val="clear" w:color="auto" w:fill="FFFFFF"/>
        </w:rPr>
        <w:t xml:space="preserve">of </w:t>
      </w:r>
      <w:r w:rsidR="003E6DAA" w:rsidRPr="00056A45">
        <w:rPr>
          <w:rFonts w:ascii="Arial" w:eastAsia="Times New Roman" w:hAnsi="Arial" w:cs="Arial"/>
          <w:sz w:val="22"/>
          <w:shd w:val="clear" w:color="auto" w:fill="FFFFFF"/>
        </w:rPr>
        <w:t>23 gigawatt hours</w:t>
      </w:r>
      <w:r w:rsidR="00B91785">
        <w:rPr>
          <w:rFonts w:ascii="Arial" w:eastAsia="Times New Roman" w:hAnsi="Arial" w:cs="Arial"/>
          <w:sz w:val="22"/>
          <w:shd w:val="clear" w:color="auto" w:fill="FFFFFF"/>
        </w:rPr>
        <w:t xml:space="preserve">, </w:t>
      </w:r>
      <w:r w:rsidR="002376AE">
        <w:rPr>
          <w:rFonts w:ascii="Arial" w:eastAsia="Times New Roman" w:hAnsi="Arial" w:cs="Arial"/>
          <w:sz w:val="22"/>
          <w:shd w:val="clear" w:color="auto" w:fill="FFFFFF"/>
        </w:rPr>
        <w:t>with the ability to increase up to 40 gigawatt hours in the future</w:t>
      </w:r>
      <w:r w:rsidR="003E6DAA" w:rsidRPr="00897EB8">
        <w:rPr>
          <w:rFonts w:ascii="Arial" w:eastAsia="Times New Roman" w:hAnsi="Arial" w:cs="Arial"/>
          <w:sz w:val="22"/>
          <w:shd w:val="clear" w:color="auto" w:fill="FFFFFF"/>
        </w:rPr>
        <w:t>. </w:t>
      </w:r>
    </w:p>
    <w:p w14:paraId="5F95BD62" w14:textId="2BB4D481" w:rsidR="00707F0F" w:rsidRDefault="00707F0F" w:rsidP="00830308">
      <w:pPr>
        <w:spacing w:after="0" w:line="240" w:lineRule="auto"/>
        <w:rPr>
          <w:rFonts w:ascii="Arial" w:eastAsia="Times New Roman" w:hAnsi="Arial" w:cs="Arial"/>
          <w:sz w:val="22"/>
          <w:shd w:val="clear" w:color="auto" w:fill="FFFFFF"/>
        </w:rPr>
      </w:pPr>
    </w:p>
    <w:p w14:paraId="709A34B3" w14:textId="3865B5EA" w:rsidR="003E6DAA" w:rsidRDefault="003E6DAA" w:rsidP="003E6DAA">
      <w:pPr>
        <w:spacing w:after="0" w:line="240" w:lineRule="auto"/>
        <w:rPr>
          <w:rFonts w:ascii="Arial" w:eastAsia="Times New Roman" w:hAnsi="Arial" w:cs="Arial"/>
          <w:sz w:val="22"/>
          <w:shd w:val="clear" w:color="auto" w:fill="FFFFFF"/>
        </w:rPr>
      </w:pPr>
      <w:r w:rsidRPr="00897EB8">
        <w:rPr>
          <w:rFonts w:ascii="Arial" w:eastAsia="Times New Roman" w:hAnsi="Arial" w:cs="Arial"/>
          <w:sz w:val="22"/>
          <w:shd w:val="clear" w:color="auto" w:fill="FFFFFF"/>
        </w:rPr>
        <w:t>“</w:t>
      </w:r>
      <w:r w:rsidR="00DC6B38">
        <w:rPr>
          <w:rFonts w:ascii="Arial" w:eastAsia="Times New Roman" w:hAnsi="Arial" w:cs="Arial"/>
          <w:sz w:val="22"/>
          <w:shd w:val="clear" w:color="auto" w:fill="FFFFFF"/>
        </w:rPr>
        <w:t>W</w:t>
      </w:r>
      <w:r w:rsidR="004B5E3B">
        <w:rPr>
          <w:rFonts w:ascii="Arial" w:eastAsia="Times New Roman" w:hAnsi="Arial" w:cs="Arial"/>
          <w:sz w:val="22"/>
          <w:shd w:val="clear" w:color="auto" w:fill="FFFFFF"/>
        </w:rPr>
        <w:t xml:space="preserve">ith </w:t>
      </w:r>
      <w:r w:rsidR="00942D14">
        <w:rPr>
          <w:rFonts w:ascii="Arial" w:eastAsia="Times New Roman" w:hAnsi="Arial" w:cs="Arial"/>
          <w:sz w:val="22"/>
          <w:shd w:val="clear" w:color="auto" w:fill="FFFFFF"/>
        </w:rPr>
        <w:t xml:space="preserve">the forthcoming </w:t>
      </w:r>
      <w:r w:rsidR="004B5E3B">
        <w:rPr>
          <w:rFonts w:ascii="Arial" w:eastAsia="Times New Roman" w:hAnsi="Arial" w:cs="Arial"/>
          <w:sz w:val="22"/>
          <w:shd w:val="clear" w:color="auto" w:fill="FFFFFF"/>
        </w:rPr>
        <w:t>batt</w:t>
      </w:r>
      <w:r w:rsidR="00E60996">
        <w:rPr>
          <w:rFonts w:ascii="Arial" w:eastAsia="Times New Roman" w:hAnsi="Arial" w:cs="Arial"/>
          <w:sz w:val="22"/>
          <w:shd w:val="clear" w:color="auto" w:fill="FFFFFF"/>
        </w:rPr>
        <w:t>ery plants coming online</w:t>
      </w:r>
      <w:r w:rsidR="004B5E3B">
        <w:rPr>
          <w:rFonts w:ascii="Arial" w:eastAsia="Times New Roman" w:hAnsi="Arial" w:cs="Arial"/>
          <w:sz w:val="22"/>
          <w:shd w:val="clear" w:color="auto" w:fill="FFFFFF"/>
        </w:rPr>
        <w:t>, w</w:t>
      </w:r>
      <w:r>
        <w:rPr>
          <w:rFonts w:ascii="Arial" w:eastAsia="Times New Roman" w:hAnsi="Arial" w:cs="Arial"/>
          <w:sz w:val="22"/>
          <w:shd w:val="clear" w:color="auto" w:fill="FFFFFF"/>
        </w:rPr>
        <w:t xml:space="preserve">e </w:t>
      </w:r>
      <w:r w:rsidR="00E60996">
        <w:rPr>
          <w:rFonts w:ascii="Arial" w:eastAsia="Times New Roman" w:hAnsi="Arial" w:cs="Arial"/>
          <w:sz w:val="22"/>
          <w:shd w:val="clear" w:color="auto" w:fill="FFFFFF"/>
        </w:rPr>
        <w:t>will be</w:t>
      </w:r>
      <w:r>
        <w:rPr>
          <w:rFonts w:ascii="Arial" w:eastAsia="Times New Roman" w:hAnsi="Arial" w:cs="Arial"/>
          <w:sz w:val="22"/>
          <w:shd w:val="clear" w:color="auto" w:fill="FFFFFF"/>
        </w:rPr>
        <w:t xml:space="preserve"> well positioned</w:t>
      </w:r>
      <w:r w:rsidR="00D63A40">
        <w:rPr>
          <w:rFonts w:ascii="Arial" w:eastAsia="Times New Roman" w:hAnsi="Arial" w:cs="Arial"/>
          <w:sz w:val="22"/>
          <w:shd w:val="clear" w:color="auto" w:fill="FFFFFF"/>
        </w:rPr>
        <w:t xml:space="preserve"> to </w:t>
      </w:r>
      <w:r w:rsidR="00DC6B38">
        <w:rPr>
          <w:rFonts w:ascii="Arial" w:eastAsia="Times New Roman" w:hAnsi="Arial" w:cs="Arial"/>
          <w:sz w:val="22"/>
          <w:shd w:val="clear" w:color="auto" w:fill="FFFFFF"/>
        </w:rPr>
        <w:t xml:space="preserve">compete and ultimately win in the </w:t>
      </w:r>
      <w:r w:rsidR="00B9411E">
        <w:rPr>
          <w:rFonts w:ascii="Arial" w:eastAsia="Times New Roman" w:hAnsi="Arial" w:cs="Arial"/>
          <w:sz w:val="22"/>
          <w:shd w:val="clear" w:color="auto" w:fill="FFFFFF"/>
        </w:rPr>
        <w:t xml:space="preserve">North American </w:t>
      </w:r>
      <w:r w:rsidR="00DC6B38">
        <w:rPr>
          <w:rFonts w:ascii="Arial" w:eastAsia="Times New Roman" w:hAnsi="Arial" w:cs="Arial"/>
          <w:sz w:val="22"/>
          <w:shd w:val="clear" w:color="auto" w:fill="FFFFFF"/>
        </w:rPr>
        <w:t>electric vehicle market</w:t>
      </w:r>
      <w:r>
        <w:rPr>
          <w:rFonts w:ascii="Arial" w:eastAsia="Times New Roman" w:hAnsi="Arial" w:cs="Arial"/>
          <w:sz w:val="22"/>
          <w:shd w:val="clear" w:color="auto" w:fill="FFFFFF"/>
        </w:rPr>
        <w:t xml:space="preserve">,” </w:t>
      </w:r>
      <w:r w:rsidRPr="00897EB8">
        <w:rPr>
          <w:rFonts w:ascii="Arial" w:eastAsia="Times New Roman" w:hAnsi="Arial" w:cs="Arial"/>
          <w:sz w:val="22"/>
          <w:shd w:val="clear" w:color="auto" w:fill="FFFFFF"/>
        </w:rPr>
        <w:t>said Carlos Tavares, CEO of Stellantis</w:t>
      </w:r>
      <w:r>
        <w:rPr>
          <w:rFonts w:ascii="Arial" w:eastAsia="Times New Roman" w:hAnsi="Arial" w:cs="Arial"/>
          <w:sz w:val="22"/>
          <w:shd w:val="clear" w:color="auto" w:fill="FFFFFF"/>
        </w:rPr>
        <w:t>. “</w:t>
      </w:r>
      <w:hyperlink r:id="rId8" w:history="1">
        <w:r w:rsidR="005E0086" w:rsidRPr="00D25B44">
          <w:rPr>
            <w:rStyle w:val="Hyperlink"/>
            <w:rFonts w:ascii="Arial" w:eastAsia="Times New Roman" w:hAnsi="Arial" w:cs="Arial"/>
            <w:sz w:val="22"/>
            <w:shd w:val="clear" w:color="auto" w:fill="FFFFFF"/>
          </w:rPr>
          <w:t xml:space="preserve">Our </w:t>
        </w:r>
        <w:r w:rsidR="004B5E3B" w:rsidRPr="00D25B44">
          <w:rPr>
            <w:rStyle w:val="Hyperlink"/>
            <w:rFonts w:ascii="Arial" w:eastAsia="Times New Roman" w:hAnsi="Arial" w:cs="Arial"/>
            <w:sz w:val="22"/>
            <w:shd w:val="clear" w:color="auto" w:fill="FFFFFF"/>
          </w:rPr>
          <w:t>strategy</w:t>
        </w:r>
      </w:hyperlink>
      <w:r w:rsidR="004B5E3B">
        <w:rPr>
          <w:rFonts w:ascii="Arial" w:eastAsia="Times New Roman" w:hAnsi="Arial" w:cs="Arial"/>
          <w:sz w:val="22"/>
          <w:shd w:val="clear" w:color="auto" w:fill="FFFFFF"/>
        </w:rPr>
        <w:t xml:space="preserve"> </w:t>
      </w:r>
      <w:r w:rsidR="00942D14">
        <w:rPr>
          <w:rFonts w:ascii="Arial" w:eastAsia="Times New Roman" w:hAnsi="Arial" w:cs="Arial"/>
          <w:sz w:val="22"/>
          <w:shd w:val="clear" w:color="auto" w:fill="FFFFFF"/>
        </w:rPr>
        <w:t xml:space="preserve">to work with highly recognized partners </w:t>
      </w:r>
      <w:r w:rsidR="004B5E3B">
        <w:rPr>
          <w:rFonts w:ascii="Arial" w:eastAsia="Times New Roman" w:hAnsi="Arial" w:cs="Arial"/>
          <w:sz w:val="22"/>
          <w:shd w:val="clear" w:color="auto" w:fill="FFFFFF"/>
        </w:rPr>
        <w:t>boosts the</w:t>
      </w:r>
      <w:r w:rsidR="005E0086">
        <w:rPr>
          <w:rFonts w:ascii="Arial" w:eastAsia="Times New Roman" w:hAnsi="Arial" w:cs="Arial"/>
          <w:sz w:val="22"/>
          <w:shd w:val="clear" w:color="auto" w:fill="FFFFFF"/>
        </w:rPr>
        <w:t xml:space="preserve"> speed</w:t>
      </w:r>
      <w:r w:rsidR="004B5E3B">
        <w:rPr>
          <w:rFonts w:ascii="Arial" w:eastAsia="Times New Roman" w:hAnsi="Arial" w:cs="Arial"/>
          <w:sz w:val="22"/>
          <w:shd w:val="clear" w:color="auto" w:fill="FFFFFF"/>
        </w:rPr>
        <w:t xml:space="preserve"> and agility</w:t>
      </w:r>
      <w:r w:rsidR="005E0086">
        <w:rPr>
          <w:rFonts w:ascii="Arial" w:eastAsia="Times New Roman" w:hAnsi="Arial" w:cs="Arial"/>
          <w:sz w:val="22"/>
          <w:shd w:val="clear" w:color="auto" w:fill="FFFFFF"/>
        </w:rPr>
        <w:t xml:space="preserve"> </w:t>
      </w:r>
      <w:r>
        <w:rPr>
          <w:rFonts w:ascii="Arial" w:eastAsia="Times New Roman" w:hAnsi="Arial" w:cs="Arial"/>
          <w:sz w:val="22"/>
          <w:shd w:val="clear" w:color="auto" w:fill="FFFFFF"/>
        </w:rPr>
        <w:t>needed to design and build</w:t>
      </w:r>
      <w:r w:rsidR="005E0086">
        <w:rPr>
          <w:rFonts w:ascii="Arial" w:eastAsia="Times New Roman" w:hAnsi="Arial" w:cs="Arial"/>
          <w:sz w:val="22"/>
          <w:shd w:val="clear" w:color="auto" w:fill="FFFFFF"/>
        </w:rPr>
        <w:t xml:space="preserve"> safe, affordable and</w:t>
      </w:r>
      <w:r w:rsidR="004B5E3B">
        <w:rPr>
          <w:rFonts w:ascii="Arial" w:eastAsia="Times New Roman" w:hAnsi="Arial" w:cs="Arial"/>
          <w:sz w:val="22"/>
          <w:shd w:val="clear" w:color="auto" w:fill="FFFFFF"/>
        </w:rPr>
        <w:t xml:space="preserve"> sustainable</w:t>
      </w:r>
      <w:r>
        <w:rPr>
          <w:rFonts w:ascii="Arial" w:eastAsia="Times New Roman" w:hAnsi="Arial" w:cs="Arial"/>
          <w:sz w:val="22"/>
          <w:shd w:val="clear" w:color="auto" w:fill="FFFFFF"/>
        </w:rPr>
        <w:t xml:space="preserve"> vehicles that match exactly what our customers demand</w:t>
      </w:r>
      <w:r w:rsidR="005E0086">
        <w:rPr>
          <w:rFonts w:ascii="Arial" w:eastAsia="Times New Roman" w:hAnsi="Arial" w:cs="Arial"/>
          <w:sz w:val="22"/>
          <w:shd w:val="clear" w:color="auto" w:fill="FFFFFF"/>
        </w:rPr>
        <w:t>. I am thankful to all</w:t>
      </w:r>
      <w:r w:rsidR="00300D4F">
        <w:rPr>
          <w:rFonts w:ascii="Arial" w:eastAsia="Times New Roman" w:hAnsi="Arial" w:cs="Arial"/>
          <w:sz w:val="22"/>
          <w:shd w:val="clear" w:color="auto" w:fill="FFFFFF"/>
        </w:rPr>
        <w:t xml:space="preserve"> the teams working on this critical investment in our collective future</w:t>
      </w:r>
      <w:r w:rsidR="005E0086">
        <w:rPr>
          <w:rFonts w:ascii="Arial" w:eastAsia="Times New Roman" w:hAnsi="Arial" w:cs="Arial"/>
          <w:sz w:val="22"/>
          <w:shd w:val="clear" w:color="auto" w:fill="FFFFFF"/>
        </w:rPr>
        <w:t xml:space="preserve">.” </w:t>
      </w:r>
    </w:p>
    <w:p w14:paraId="69AA0F06" w14:textId="3C0F3E69" w:rsidR="00D63A40" w:rsidRDefault="00D63A40" w:rsidP="003E6DAA">
      <w:pPr>
        <w:spacing w:after="0" w:line="240" w:lineRule="auto"/>
        <w:rPr>
          <w:rFonts w:ascii="Arial" w:eastAsia="Times New Roman" w:hAnsi="Arial" w:cs="Arial"/>
          <w:sz w:val="22"/>
          <w:shd w:val="clear" w:color="auto" w:fill="FFFFFF"/>
        </w:rPr>
      </w:pPr>
    </w:p>
    <w:p w14:paraId="2FDA04D5" w14:textId="45F93842" w:rsidR="00D63A40" w:rsidRPr="00707F0F" w:rsidRDefault="00D63A40">
      <w:pPr>
        <w:spacing w:after="0" w:line="240" w:lineRule="auto"/>
        <w:rPr>
          <w:rFonts w:ascii="Arial" w:eastAsia="Times New Roman" w:hAnsi="Arial" w:cs="Arial"/>
          <w:sz w:val="22"/>
          <w:shd w:val="clear" w:color="auto" w:fill="FFFFFF"/>
        </w:rPr>
      </w:pPr>
      <w:r w:rsidRPr="00F21B43">
        <w:rPr>
          <w:rFonts w:ascii="Arial" w:eastAsia="Times New Roman" w:hAnsi="Arial" w:cs="Arial"/>
          <w:sz w:val="22"/>
          <w:shd w:val="clear" w:color="auto" w:fill="FFFFFF"/>
        </w:rPr>
        <w:t>“</w:t>
      </w:r>
      <w:r w:rsidR="00566BD0" w:rsidRPr="00F21B43">
        <w:rPr>
          <w:rFonts w:ascii="Arial" w:eastAsia="Times New Roman" w:hAnsi="Arial" w:cs="Arial"/>
          <w:sz w:val="22"/>
          <w:shd w:val="clear" w:color="auto" w:fill="FFFFFF"/>
        </w:rPr>
        <w:t xml:space="preserve">It is an honor for us to build </w:t>
      </w:r>
      <w:r w:rsidR="00056A45" w:rsidRPr="00E81D29">
        <w:rPr>
          <w:rFonts w:ascii="Arial" w:eastAsia="Times New Roman" w:hAnsi="Arial" w:cs="Arial"/>
          <w:sz w:val="22"/>
          <w:shd w:val="clear" w:color="auto" w:fill="FFFFFF"/>
        </w:rPr>
        <w:t xml:space="preserve">a </w:t>
      </w:r>
      <w:r w:rsidR="00566BD0" w:rsidRPr="00F21B43">
        <w:rPr>
          <w:rFonts w:ascii="Arial" w:eastAsia="Times New Roman" w:hAnsi="Arial" w:cs="Arial"/>
          <w:sz w:val="22"/>
          <w:shd w:val="clear" w:color="auto" w:fill="FFFFFF"/>
        </w:rPr>
        <w:t>battery joint venture with Stellantis who</w:t>
      </w:r>
      <w:r w:rsidR="00056A45" w:rsidRPr="00E81D29">
        <w:rPr>
          <w:rFonts w:ascii="Arial" w:eastAsia="Times New Roman" w:hAnsi="Arial" w:cs="Arial"/>
          <w:sz w:val="22"/>
          <w:shd w:val="clear" w:color="auto" w:fill="FFFFFF"/>
        </w:rPr>
        <w:t xml:space="preserve"> is </w:t>
      </w:r>
      <w:r w:rsidR="00F21B43" w:rsidRPr="00F21B43">
        <w:rPr>
          <w:rFonts w:ascii="Arial" w:eastAsia="Times New Roman" w:hAnsi="Arial" w:cs="Arial"/>
          <w:sz w:val="22"/>
          <w:shd w:val="clear" w:color="auto" w:fill="FFFFFF"/>
        </w:rPr>
        <w:t>accelerating</w:t>
      </w:r>
      <w:r w:rsidR="00566BD0" w:rsidRPr="00F21B43">
        <w:rPr>
          <w:rFonts w:ascii="Arial" w:eastAsia="Times New Roman" w:hAnsi="Arial" w:cs="Arial"/>
          <w:sz w:val="22"/>
          <w:shd w:val="clear" w:color="auto" w:fill="FFFFFF"/>
        </w:rPr>
        <w:t xml:space="preserve"> its electrification strategy in this</w:t>
      </w:r>
      <w:r w:rsidR="00866FFB" w:rsidRPr="00707F0F">
        <w:rPr>
          <w:rFonts w:ascii="Arial" w:eastAsia="Times New Roman" w:hAnsi="Arial" w:cs="Arial"/>
          <w:sz w:val="22"/>
          <w:shd w:val="clear" w:color="auto" w:fill="FFFFFF"/>
        </w:rPr>
        <w:t xml:space="preserve"> green energy era</w:t>
      </w:r>
      <w:r w:rsidR="00056A45" w:rsidRPr="00E81D29">
        <w:rPr>
          <w:rFonts w:ascii="Arial" w:eastAsia="Times New Roman" w:hAnsi="Arial" w:cs="Arial"/>
          <w:sz w:val="22"/>
          <w:shd w:val="clear" w:color="auto" w:fill="FFFFFF"/>
        </w:rPr>
        <w:t>,</w:t>
      </w:r>
      <w:r w:rsidRPr="00707F0F">
        <w:rPr>
          <w:rFonts w:ascii="Arial" w:eastAsia="Times New Roman" w:hAnsi="Arial" w:cs="Arial"/>
          <w:sz w:val="22"/>
          <w:shd w:val="clear" w:color="auto" w:fill="FFFFFF"/>
        </w:rPr>
        <w:t xml:space="preserve">” said </w:t>
      </w:r>
      <w:r w:rsidR="00196D9C" w:rsidRPr="00707F0F">
        <w:rPr>
          <w:rFonts w:ascii="Arial" w:eastAsia="Times New Roman" w:hAnsi="Arial" w:cs="Arial"/>
          <w:sz w:val="22"/>
          <w:shd w:val="clear" w:color="auto" w:fill="FFFFFF"/>
        </w:rPr>
        <w:t>Young-</w:t>
      </w:r>
      <w:proofErr w:type="spellStart"/>
      <w:r w:rsidR="00196D9C" w:rsidRPr="00707F0F">
        <w:rPr>
          <w:rFonts w:ascii="Arial" w:eastAsia="Times New Roman" w:hAnsi="Arial" w:cs="Arial"/>
          <w:sz w:val="22"/>
          <w:shd w:val="clear" w:color="auto" w:fill="FFFFFF"/>
        </w:rPr>
        <w:t>hyun</w:t>
      </w:r>
      <w:proofErr w:type="spellEnd"/>
      <w:r w:rsidR="00196D9C" w:rsidRPr="00707F0F">
        <w:rPr>
          <w:rFonts w:ascii="Arial" w:eastAsia="Times New Roman" w:hAnsi="Arial" w:cs="Arial"/>
          <w:sz w:val="22"/>
          <w:shd w:val="clear" w:color="auto" w:fill="FFFFFF"/>
        </w:rPr>
        <w:t xml:space="preserve"> Jun, President and CEO of Samsung SDI</w:t>
      </w:r>
      <w:r w:rsidRPr="00707F0F">
        <w:rPr>
          <w:rFonts w:ascii="Arial" w:eastAsia="Times New Roman" w:hAnsi="Arial" w:cs="Arial"/>
          <w:sz w:val="22"/>
          <w:shd w:val="clear" w:color="auto" w:fill="FFFFFF"/>
        </w:rPr>
        <w:t>. “</w:t>
      </w:r>
      <w:r w:rsidR="00B91785">
        <w:rPr>
          <w:rFonts w:ascii="Arial" w:eastAsia="Times New Roman" w:hAnsi="Arial" w:cs="Arial"/>
          <w:sz w:val="22"/>
          <w:shd w:val="clear" w:color="auto" w:fill="FFFFFF"/>
        </w:rPr>
        <w:t xml:space="preserve">With this </w:t>
      </w:r>
      <w:r w:rsidR="00866FFB" w:rsidRPr="00E81D29">
        <w:rPr>
          <w:rFonts w:ascii="Arial" w:eastAsia="Times New Roman" w:hAnsi="Arial" w:cs="Arial"/>
          <w:sz w:val="22"/>
          <w:shd w:val="clear" w:color="auto" w:fill="FFFFFF"/>
        </w:rPr>
        <w:t>battery joint venture</w:t>
      </w:r>
      <w:r w:rsidR="00866FFB" w:rsidRPr="00F21B43">
        <w:rPr>
          <w:rFonts w:ascii="Arial" w:eastAsia="Times New Roman" w:hAnsi="Arial" w:cs="Arial"/>
          <w:sz w:val="22"/>
          <w:shd w:val="clear" w:color="auto" w:fill="FFFFFF"/>
        </w:rPr>
        <w:t xml:space="preserve">, we will do our best to meet the high standards of </w:t>
      </w:r>
      <w:r w:rsidR="00B91785">
        <w:rPr>
          <w:rFonts w:ascii="Arial" w:eastAsia="Times New Roman" w:hAnsi="Arial" w:cs="Arial"/>
          <w:sz w:val="22"/>
          <w:shd w:val="clear" w:color="auto" w:fill="FFFFFF"/>
        </w:rPr>
        <w:t xml:space="preserve">our </w:t>
      </w:r>
      <w:r w:rsidR="00866FFB" w:rsidRPr="00F21B43">
        <w:rPr>
          <w:rFonts w:ascii="Arial" w:eastAsia="Times New Roman" w:hAnsi="Arial" w:cs="Arial"/>
          <w:sz w:val="22"/>
          <w:shd w:val="clear" w:color="auto" w:fill="FFFFFF"/>
        </w:rPr>
        <w:t xml:space="preserve">customers in the North American EV market </w:t>
      </w:r>
      <w:r w:rsidR="00B91785">
        <w:rPr>
          <w:rFonts w:ascii="Arial" w:eastAsia="Times New Roman" w:hAnsi="Arial" w:cs="Arial"/>
          <w:sz w:val="22"/>
          <w:shd w:val="clear" w:color="auto" w:fill="FFFFFF"/>
        </w:rPr>
        <w:t>leveraging</w:t>
      </w:r>
      <w:r w:rsidR="00866FFB" w:rsidRPr="00F21B43">
        <w:rPr>
          <w:rFonts w:ascii="Arial" w:eastAsia="Times New Roman" w:hAnsi="Arial" w:cs="Arial"/>
          <w:sz w:val="22"/>
          <w:shd w:val="clear" w:color="auto" w:fill="FFFFFF"/>
        </w:rPr>
        <w:t xml:space="preserve"> Samsung SDI</w:t>
      </w:r>
      <w:r w:rsidR="008C661C">
        <w:rPr>
          <w:rFonts w:ascii="Arial" w:eastAsia="Times New Roman" w:hAnsi="Arial" w:cs="Arial"/>
          <w:sz w:val="22"/>
          <w:shd w:val="clear" w:color="auto" w:fill="FFFFFF"/>
        </w:rPr>
        <w:t>’</w:t>
      </w:r>
      <w:r w:rsidR="00866FFB" w:rsidRPr="00F21B43">
        <w:rPr>
          <w:rFonts w:ascii="Arial" w:eastAsia="Times New Roman" w:hAnsi="Arial" w:cs="Arial"/>
          <w:sz w:val="22"/>
          <w:shd w:val="clear" w:color="auto" w:fill="FFFFFF"/>
        </w:rPr>
        <w:t>s battery</w:t>
      </w:r>
      <w:r w:rsidR="00866FFB" w:rsidRPr="00707F0F">
        <w:rPr>
          <w:rFonts w:ascii="Arial" w:eastAsia="Times New Roman" w:hAnsi="Arial" w:cs="Arial"/>
          <w:sz w:val="22"/>
          <w:shd w:val="clear" w:color="auto" w:fill="FFFFFF"/>
        </w:rPr>
        <w:t xml:space="preserve"> technology, high quality</w:t>
      </w:r>
      <w:r w:rsidR="00B91785">
        <w:rPr>
          <w:rFonts w:ascii="Arial" w:eastAsia="Times New Roman" w:hAnsi="Arial" w:cs="Arial"/>
          <w:sz w:val="22"/>
          <w:shd w:val="clear" w:color="auto" w:fill="FFFFFF"/>
        </w:rPr>
        <w:t xml:space="preserve"> products</w:t>
      </w:r>
      <w:r w:rsidR="00866FFB" w:rsidRPr="00707F0F">
        <w:rPr>
          <w:rFonts w:ascii="Arial" w:eastAsia="Times New Roman" w:hAnsi="Arial" w:cs="Arial"/>
          <w:sz w:val="22"/>
          <w:shd w:val="clear" w:color="auto" w:fill="FFFFFF"/>
        </w:rPr>
        <w:t xml:space="preserve"> and safety</w:t>
      </w:r>
      <w:r w:rsidR="00B91785">
        <w:rPr>
          <w:rFonts w:ascii="Arial" w:eastAsia="Times New Roman" w:hAnsi="Arial" w:cs="Arial"/>
          <w:sz w:val="22"/>
          <w:shd w:val="clear" w:color="auto" w:fill="FFFFFF"/>
        </w:rPr>
        <w:t xml:space="preserve"> measures</w:t>
      </w:r>
      <w:r w:rsidR="00F21B43">
        <w:rPr>
          <w:rFonts w:ascii="Arial" w:eastAsia="Times New Roman" w:hAnsi="Arial" w:cs="Arial"/>
          <w:sz w:val="22"/>
          <w:shd w:val="clear" w:color="auto" w:fill="FFFFFF"/>
        </w:rPr>
        <w:t>.</w:t>
      </w:r>
      <w:r w:rsidRPr="00707F0F">
        <w:rPr>
          <w:rFonts w:ascii="Arial" w:eastAsia="Times New Roman" w:hAnsi="Arial" w:cs="Arial"/>
          <w:sz w:val="22"/>
          <w:shd w:val="clear" w:color="auto" w:fill="FFFFFF"/>
        </w:rPr>
        <w:t>”</w:t>
      </w:r>
    </w:p>
    <w:p w14:paraId="6EF46893" w14:textId="77777777" w:rsidR="003E6DAA" w:rsidRPr="00700625" w:rsidRDefault="003E6DAA" w:rsidP="003E6DAA">
      <w:pPr>
        <w:spacing w:after="0" w:line="240" w:lineRule="auto"/>
        <w:rPr>
          <w:rFonts w:ascii="Arial" w:eastAsia="Times New Roman" w:hAnsi="Arial" w:cs="Arial"/>
          <w:sz w:val="22"/>
          <w:shd w:val="clear" w:color="auto" w:fill="FFFFFF"/>
        </w:rPr>
      </w:pPr>
    </w:p>
    <w:p w14:paraId="13D519A7" w14:textId="34825D1C" w:rsidR="00942D14" w:rsidRDefault="00184269" w:rsidP="00942D14">
      <w:pPr>
        <w:spacing w:after="0" w:line="240" w:lineRule="auto"/>
        <w:rPr>
          <w:rFonts w:ascii="Arial" w:eastAsia="Times New Roman" w:hAnsi="Arial" w:cs="Arial"/>
          <w:sz w:val="22"/>
          <w:shd w:val="clear" w:color="auto" w:fill="FFFFFF"/>
        </w:rPr>
      </w:pPr>
      <w:r>
        <w:rPr>
          <w:rFonts w:ascii="Arial" w:eastAsia="Times New Roman" w:hAnsi="Arial" w:cs="Arial"/>
          <w:sz w:val="22"/>
          <w:shd w:val="clear" w:color="auto" w:fill="FFFFFF"/>
        </w:rPr>
        <w:t xml:space="preserve">Stellantis </w:t>
      </w:r>
      <w:r w:rsidR="00D0448F">
        <w:rPr>
          <w:rFonts w:ascii="Arial" w:eastAsia="Times New Roman" w:hAnsi="Arial" w:cs="Arial"/>
          <w:sz w:val="22"/>
          <w:shd w:val="clear" w:color="auto" w:fill="FFFFFF"/>
        </w:rPr>
        <w:t>is now well advanced in the process of securing</w:t>
      </w:r>
      <w:r w:rsidR="00942D14">
        <w:rPr>
          <w:rFonts w:ascii="Arial" w:eastAsia="Times New Roman" w:hAnsi="Arial" w:cs="Arial"/>
          <w:sz w:val="22"/>
          <w:shd w:val="clear" w:color="auto" w:fill="FFFFFF"/>
        </w:rPr>
        <w:t xml:space="preserve"> </w:t>
      </w:r>
      <w:r>
        <w:rPr>
          <w:rFonts w:ascii="Arial" w:eastAsia="Times New Roman" w:hAnsi="Arial" w:cs="Arial"/>
          <w:sz w:val="22"/>
          <w:shd w:val="clear" w:color="auto" w:fill="FFFFFF"/>
        </w:rPr>
        <w:t>annual production capacit</w:t>
      </w:r>
      <w:r w:rsidR="00683A89">
        <w:rPr>
          <w:rFonts w:ascii="Arial" w:eastAsia="Times New Roman" w:hAnsi="Arial" w:cs="Arial"/>
          <w:sz w:val="22"/>
          <w:shd w:val="clear" w:color="auto" w:fill="FFFFFF"/>
        </w:rPr>
        <w:t xml:space="preserve">y for electric vehicle batteries, </w:t>
      </w:r>
      <w:r w:rsidR="002B3481">
        <w:rPr>
          <w:rFonts w:ascii="Arial" w:eastAsia="Times New Roman" w:hAnsi="Arial" w:cs="Arial"/>
          <w:sz w:val="22"/>
          <w:shd w:val="clear" w:color="auto" w:fill="FFFFFF"/>
        </w:rPr>
        <w:t>paving</w:t>
      </w:r>
      <w:r w:rsidR="00942D14">
        <w:rPr>
          <w:rFonts w:ascii="Arial" w:eastAsia="Times New Roman" w:hAnsi="Arial" w:cs="Arial"/>
          <w:sz w:val="22"/>
          <w:shd w:val="clear" w:color="auto" w:fill="FFFFFF"/>
        </w:rPr>
        <w:t xml:space="preserve"> the way to </w:t>
      </w:r>
      <w:r w:rsidR="00683A89">
        <w:rPr>
          <w:rFonts w:ascii="Arial" w:eastAsia="Times New Roman" w:hAnsi="Arial" w:cs="Arial"/>
          <w:sz w:val="22"/>
          <w:shd w:val="clear" w:color="auto" w:fill="FFFFFF"/>
        </w:rPr>
        <w:t xml:space="preserve">achieving </w:t>
      </w:r>
      <w:r w:rsidR="00942D14" w:rsidRPr="00897EB8">
        <w:rPr>
          <w:rFonts w:ascii="Arial" w:eastAsia="Times New Roman" w:hAnsi="Arial" w:cs="Arial"/>
          <w:sz w:val="22"/>
          <w:shd w:val="clear" w:color="auto" w:fill="FFFFFF"/>
        </w:rPr>
        <w:t>40% of its sales in the U.S. comprised of electrified vehicles by 2030.</w:t>
      </w:r>
    </w:p>
    <w:p w14:paraId="47DEF2DA" w14:textId="77777777" w:rsidR="0088669E" w:rsidRDefault="0088669E" w:rsidP="00942D14">
      <w:pPr>
        <w:spacing w:after="0" w:line="240" w:lineRule="auto"/>
        <w:rPr>
          <w:rFonts w:ascii="Arial" w:eastAsia="Times New Roman" w:hAnsi="Arial" w:cs="Arial"/>
          <w:sz w:val="22"/>
          <w:shd w:val="clear" w:color="auto" w:fill="FFFFFF"/>
        </w:rPr>
      </w:pPr>
    </w:p>
    <w:p w14:paraId="0BFA0A73" w14:textId="083ACE6C" w:rsidR="00184269" w:rsidRPr="00897EB8" w:rsidRDefault="00184269" w:rsidP="00184269">
      <w:pPr>
        <w:spacing w:after="0" w:line="240" w:lineRule="auto"/>
        <w:rPr>
          <w:rFonts w:ascii="Arial" w:hAnsi="Arial" w:cs="Arial"/>
          <w:sz w:val="22"/>
        </w:rPr>
      </w:pPr>
      <w:r w:rsidRPr="00897EB8">
        <w:rPr>
          <w:rFonts w:ascii="Arial" w:hAnsi="Arial" w:cs="Arial"/>
          <w:sz w:val="22"/>
        </w:rPr>
        <w:t>The batter</w:t>
      </w:r>
      <w:r w:rsidR="001E40DC">
        <w:rPr>
          <w:rFonts w:ascii="Arial" w:hAnsi="Arial" w:cs="Arial"/>
          <w:sz w:val="22"/>
        </w:rPr>
        <w:t>y</w:t>
      </w:r>
      <w:r w:rsidR="002972A8">
        <w:rPr>
          <w:rFonts w:ascii="Arial" w:hAnsi="Arial" w:cs="Arial"/>
          <w:sz w:val="22"/>
        </w:rPr>
        <w:t xml:space="preserve"> </w:t>
      </w:r>
      <w:r w:rsidR="00942D14">
        <w:rPr>
          <w:rFonts w:ascii="Arial" w:hAnsi="Arial" w:cs="Arial"/>
          <w:sz w:val="22"/>
        </w:rPr>
        <w:t>plants will fulfill the needs of</w:t>
      </w:r>
      <w:r w:rsidRPr="00897EB8">
        <w:rPr>
          <w:rFonts w:ascii="Arial" w:hAnsi="Arial" w:cs="Arial"/>
          <w:sz w:val="22"/>
        </w:rPr>
        <w:t xml:space="preserve"> Stellantis assembly plants throughout the US, </w:t>
      </w:r>
      <w:r>
        <w:rPr>
          <w:rFonts w:ascii="Arial" w:hAnsi="Arial" w:cs="Arial"/>
          <w:sz w:val="22"/>
        </w:rPr>
        <w:t>Canada, and Mexico for installation</w:t>
      </w:r>
      <w:r w:rsidRPr="00897EB8">
        <w:rPr>
          <w:rFonts w:ascii="Arial" w:hAnsi="Arial" w:cs="Arial"/>
          <w:sz w:val="22"/>
        </w:rPr>
        <w:t xml:space="preserve"> in next-generation electric vehicles ranging from plug-in hybrids to full battery electric vehicles that will be sold under the Stellantis family of brands.</w:t>
      </w:r>
    </w:p>
    <w:p w14:paraId="080E95F5" w14:textId="77777777" w:rsidR="002972A8" w:rsidRPr="00897EB8" w:rsidRDefault="002972A8" w:rsidP="002972A8">
      <w:pPr>
        <w:spacing w:after="0" w:line="240" w:lineRule="auto"/>
        <w:rPr>
          <w:rFonts w:ascii="Arial" w:eastAsia="Times New Roman" w:hAnsi="Arial" w:cs="Arial"/>
          <w:sz w:val="22"/>
          <w:shd w:val="clear" w:color="auto" w:fill="FFFFFF"/>
        </w:rPr>
      </w:pPr>
    </w:p>
    <w:p w14:paraId="68A8A203" w14:textId="3070E88F" w:rsidR="00184269" w:rsidRDefault="00184269" w:rsidP="00184269">
      <w:pPr>
        <w:spacing w:after="0" w:line="240" w:lineRule="auto"/>
        <w:rPr>
          <w:rFonts w:ascii="Arial" w:eastAsia="Times New Roman" w:hAnsi="Arial" w:cs="Arial"/>
          <w:sz w:val="22"/>
          <w:shd w:val="clear" w:color="auto" w:fill="FFFFFF"/>
        </w:rPr>
      </w:pPr>
      <w:r w:rsidRPr="00897EB8">
        <w:rPr>
          <w:rFonts w:ascii="Arial" w:eastAsia="Times New Roman" w:hAnsi="Arial" w:cs="Arial"/>
          <w:sz w:val="22"/>
          <w:shd w:val="clear" w:color="auto" w:fill="FFFFFF"/>
        </w:rPr>
        <w:t xml:space="preserve">Stellantis </w:t>
      </w:r>
      <w:r w:rsidRPr="00F541DE">
        <w:rPr>
          <w:rFonts w:ascii="Arial" w:eastAsia="Times New Roman" w:hAnsi="Arial" w:cs="Arial"/>
          <w:sz w:val="22"/>
          <w:shd w:val="clear" w:color="auto" w:fill="FFFFFF"/>
        </w:rPr>
        <w:t>plans to invest</w:t>
      </w:r>
      <w:r w:rsidRPr="00897EB8">
        <w:rPr>
          <w:rFonts w:ascii="Arial" w:eastAsia="Times New Roman" w:hAnsi="Arial" w:cs="Arial"/>
          <w:sz w:val="22"/>
          <w:shd w:val="clear" w:color="auto" w:fill="FFFFFF"/>
        </w:rPr>
        <w:t xml:space="preserve"> more than €30 billion through 2025 in electrification and software development, while targeting to continue to be 30 percent more efficient than the industry with respect to total Capex and R&amp;D spend versus revenues.</w:t>
      </w:r>
      <w:r>
        <w:rPr>
          <w:rFonts w:ascii="Arial" w:eastAsia="Times New Roman" w:hAnsi="Arial" w:cs="Arial"/>
          <w:sz w:val="22"/>
          <w:shd w:val="clear" w:color="auto" w:fill="FFFFFF"/>
        </w:rPr>
        <w:t xml:space="preserve"> </w:t>
      </w:r>
    </w:p>
    <w:p w14:paraId="0FFA19B3" w14:textId="2B07BEAC" w:rsidR="0007479D" w:rsidRPr="00897EB8" w:rsidRDefault="0007479D" w:rsidP="00830308">
      <w:pPr>
        <w:spacing w:after="0" w:line="240" w:lineRule="auto"/>
        <w:rPr>
          <w:rFonts w:ascii="Arial" w:eastAsia="Times New Roman" w:hAnsi="Arial" w:cs="Arial"/>
          <w:sz w:val="22"/>
          <w:shd w:val="clear" w:color="auto" w:fill="FFFFFF"/>
        </w:rPr>
      </w:pPr>
    </w:p>
    <w:p w14:paraId="66C27F50" w14:textId="77777777" w:rsidR="00CF467D" w:rsidRDefault="00894703" w:rsidP="00830308">
      <w:pPr>
        <w:spacing w:after="0" w:line="240" w:lineRule="auto"/>
        <w:rPr>
          <w:rFonts w:ascii="Arial" w:hAnsi="Arial" w:cs="Arial"/>
          <w:sz w:val="22"/>
        </w:rPr>
      </w:pPr>
      <w:r w:rsidRPr="00897EB8">
        <w:rPr>
          <w:rFonts w:ascii="Arial" w:hAnsi="Arial" w:cs="Arial"/>
          <w:sz w:val="22"/>
        </w:rPr>
        <w:t>T</w:t>
      </w:r>
      <w:r w:rsidR="00504954" w:rsidRPr="00897EB8">
        <w:rPr>
          <w:rFonts w:ascii="Arial" w:hAnsi="Arial" w:cs="Arial"/>
          <w:sz w:val="22"/>
        </w:rPr>
        <w:t xml:space="preserve">he location of the new </w:t>
      </w:r>
      <w:r w:rsidR="005336A5" w:rsidRPr="00897EB8">
        <w:rPr>
          <w:rFonts w:ascii="Arial" w:hAnsi="Arial" w:cs="Arial"/>
          <w:sz w:val="22"/>
        </w:rPr>
        <w:t>facility</w:t>
      </w:r>
      <w:r w:rsidR="00504954" w:rsidRPr="00897EB8">
        <w:rPr>
          <w:rFonts w:ascii="Arial" w:hAnsi="Arial" w:cs="Arial"/>
          <w:sz w:val="22"/>
        </w:rPr>
        <w:t xml:space="preserve"> is curren</w:t>
      </w:r>
      <w:r w:rsidR="0040686A" w:rsidRPr="00897EB8">
        <w:rPr>
          <w:rFonts w:ascii="Arial" w:hAnsi="Arial" w:cs="Arial"/>
          <w:sz w:val="22"/>
        </w:rPr>
        <w:t xml:space="preserve">tly under review and further details will be </w:t>
      </w:r>
      <w:r w:rsidR="005336A5" w:rsidRPr="00897EB8">
        <w:rPr>
          <w:rFonts w:ascii="Arial" w:hAnsi="Arial" w:cs="Arial"/>
          <w:sz w:val="22"/>
        </w:rPr>
        <w:t>shared at a later date</w:t>
      </w:r>
      <w:r w:rsidR="0040686A" w:rsidRPr="00897EB8">
        <w:rPr>
          <w:rFonts w:ascii="Arial" w:hAnsi="Arial" w:cs="Arial"/>
          <w:sz w:val="22"/>
        </w:rPr>
        <w:t xml:space="preserve">. </w:t>
      </w:r>
    </w:p>
    <w:p w14:paraId="2BEA73A6" w14:textId="77777777" w:rsidR="00CF467D" w:rsidRDefault="00CF467D" w:rsidP="00830308">
      <w:pPr>
        <w:spacing w:after="0" w:line="240" w:lineRule="auto"/>
        <w:rPr>
          <w:rFonts w:ascii="Arial" w:hAnsi="Arial" w:cs="Arial"/>
          <w:sz w:val="22"/>
        </w:rPr>
      </w:pPr>
    </w:p>
    <w:p w14:paraId="613F5C59" w14:textId="4E9B03B7" w:rsidR="005C18FB" w:rsidRPr="00572F5B" w:rsidRDefault="005C18FB" w:rsidP="00830308">
      <w:pPr>
        <w:spacing w:after="0" w:line="240" w:lineRule="auto"/>
        <w:rPr>
          <w:rFonts w:ascii="Times New Roman" w:eastAsia="Times New Roman" w:hAnsi="Times New Roman" w:cs="Times New Roman"/>
          <w:sz w:val="22"/>
        </w:rPr>
      </w:pPr>
      <w:r w:rsidRPr="005C18FB">
        <w:rPr>
          <w:rFonts w:ascii="Arial" w:eastAsia="Times New Roman" w:hAnsi="Arial" w:cs="Arial"/>
          <w:sz w:val="22"/>
          <w:shd w:val="clear" w:color="auto" w:fill="FFFFFF"/>
        </w:rPr>
        <w:t>The transaction is subject to agreement on definitive documentation and customary closing conditions, including regulatory approvals.</w:t>
      </w:r>
      <w:r w:rsidR="00DB3ECD">
        <w:rPr>
          <w:rFonts w:ascii="Arial" w:eastAsia="Times New Roman" w:hAnsi="Arial" w:cs="Arial"/>
          <w:sz w:val="22"/>
          <w:shd w:val="clear" w:color="auto" w:fill="FFFFFF"/>
        </w:rPr>
        <w:t xml:space="preserve"> </w:t>
      </w:r>
    </w:p>
    <w:p w14:paraId="730C640E" w14:textId="3D6762E0" w:rsidR="0007479D" w:rsidRDefault="0007479D" w:rsidP="005C18FB">
      <w:pPr>
        <w:spacing w:after="0" w:line="240" w:lineRule="auto"/>
        <w:rPr>
          <w:rFonts w:ascii="Arial" w:eastAsia="Times New Roman" w:hAnsi="Arial" w:cs="Arial"/>
          <w:sz w:val="22"/>
          <w:shd w:val="clear" w:color="auto" w:fill="FFFFFF"/>
        </w:rPr>
      </w:pPr>
    </w:p>
    <w:p w14:paraId="4248F388" w14:textId="6D242684" w:rsidR="0007479D" w:rsidRDefault="0007479D" w:rsidP="005C18FB">
      <w:pPr>
        <w:spacing w:after="0" w:line="240" w:lineRule="auto"/>
        <w:rPr>
          <w:rFonts w:ascii="Arial" w:eastAsia="Times New Roman" w:hAnsi="Arial" w:cs="Arial"/>
          <w:sz w:val="22"/>
          <w:shd w:val="clear" w:color="auto" w:fill="FFFFFF"/>
        </w:rPr>
      </w:pPr>
    </w:p>
    <w:p w14:paraId="1EE67F01" w14:textId="3AF44F24" w:rsidR="0007479D" w:rsidRDefault="005E0086" w:rsidP="005E0086">
      <w:pPr>
        <w:spacing w:after="0" w:line="240" w:lineRule="auto"/>
        <w:jc w:val="center"/>
        <w:rPr>
          <w:rFonts w:ascii="Arial" w:eastAsia="Times New Roman" w:hAnsi="Arial" w:cs="Arial"/>
          <w:sz w:val="22"/>
          <w:shd w:val="clear" w:color="auto" w:fill="FFFFFF"/>
        </w:rPr>
      </w:pPr>
      <w:r>
        <w:rPr>
          <w:rFonts w:ascii="Arial" w:eastAsia="Times New Roman" w:hAnsi="Arial" w:cs="Arial"/>
          <w:sz w:val="22"/>
          <w:shd w:val="clear" w:color="auto" w:fill="FFFFFF"/>
        </w:rPr>
        <w:t># # #</w:t>
      </w:r>
    </w:p>
    <w:p w14:paraId="56C6AB75" w14:textId="77777777" w:rsidR="00A03072" w:rsidRPr="005C18FB" w:rsidRDefault="00A03072" w:rsidP="005C18FB">
      <w:pPr>
        <w:spacing w:after="0" w:line="240" w:lineRule="auto"/>
        <w:rPr>
          <w:rFonts w:ascii="Times New Roman" w:eastAsia="Times New Roman" w:hAnsi="Times New Roman" w:cs="Times New Roman"/>
          <w:sz w:val="22"/>
        </w:rPr>
      </w:pPr>
    </w:p>
    <w:p w14:paraId="5A02091D" w14:textId="77777777" w:rsidR="00AB2E64" w:rsidRPr="005277C6" w:rsidRDefault="00AB2E64" w:rsidP="00AB2E64">
      <w:pPr>
        <w:tabs>
          <w:tab w:val="left" w:pos="4140"/>
        </w:tabs>
        <w:rPr>
          <w:sz w:val="22"/>
        </w:rPr>
      </w:pPr>
      <w:r w:rsidRPr="005277C6">
        <w:rPr>
          <w:rFonts w:ascii="Arial" w:eastAsia="Arial" w:hAnsi="Arial" w:cs="Arial"/>
          <w:b/>
          <w:sz w:val="22"/>
        </w:rPr>
        <w:lastRenderedPageBreak/>
        <w:t xml:space="preserve">About </w:t>
      </w:r>
      <w:r>
        <w:rPr>
          <w:rFonts w:ascii="Arial" w:eastAsia="Arial" w:hAnsi="Arial" w:cs="Arial"/>
          <w:b/>
          <w:sz w:val="22"/>
        </w:rPr>
        <w:t>Stellantis</w:t>
      </w:r>
    </w:p>
    <w:p w14:paraId="11502AA8" w14:textId="3CD200D4" w:rsidR="008B1463" w:rsidRDefault="00205671" w:rsidP="00830308">
      <w:pPr>
        <w:tabs>
          <w:tab w:val="left" w:pos="4140"/>
        </w:tabs>
        <w:spacing w:after="0" w:line="240" w:lineRule="auto"/>
        <w:rPr>
          <w:rFonts w:ascii="Arial" w:hAnsi="Arial" w:cs="Arial"/>
          <w:b/>
          <w:sz w:val="22"/>
        </w:rPr>
      </w:pPr>
      <w:r w:rsidRPr="00B17EC8">
        <w:rPr>
          <w:rFonts w:ascii="Arial" w:hAnsi="Arial" w:cs="Arial"/>
          <w:sz w:val="22"/>
        </w:rPr>
        <w:t>Stellantis is one of the world</w:t>
      </w:r>
      <w:r w:rsidR="008C661C">
        <w:rPr>
          <w:rFonts w:ascii="Arial" w:hAnsi="Arial" w:cs="Arial"/>
          <w:sz w:val="22"/>
        </w:rPr>
        <w:t>’</w:t>
      </w:r>
      <w:r w:rsidRPr="00B17EC8">
        <w:rPr>
          <w:rFonts w:ascii="Arial" w:hAnsi="Arial" w:cs="Arial"/>
          <w:sz w:val="22"/>
        </w:rPr>
        <w:t>s leading automakers and a mobility provider, guided by a clear vision: to offer freedom of movement with distinctive, affordable and reliable mobility solutions. In addition to the Group</w:t>
      </w:r>
      <w:r w:rsidR="008C661C">
        <w:rPr>
          <w:rFonts w:ascii="Arial" w:hAnsi="Arial" w:cs="Arial"/>
          <w:sz w:val="22"/>
        </w:rPr>
        <w:t>’</w:t>
      </w:r>
      <w:r w:rsidRPr="00B17EC8">
        <w:rPr>
          <w:rFonts w:ascii="Arial" w:hAnsi="Arial" w:cs="Arial"/>
          <w:sz w:val="22"/>
        </w:rPr>
        <w:t>s rich heritage and broad geographic presence, its greatest strengths lie in its sustainable performance, depth of experience and the wide-ranging talents of employees working around the globe. Stellantis leverages its broad and iconic brand portfolio, which was founded by visionaries who infused the marques with passion and a competitive spirit that speaks to employees and customers alike. Stellantis aspires to become the greatest, not the biggest while creating added value for all stakeholders as well as the communities in which it operates.</w:t>
      </w:r>
    </w:p>
    <w:p w14:paraId="4B81280D" w14:textId="77777777" w:rsidR="008B1463" w:rsidRPr="008B1463" w:rsidRDefault="008B1463" w:rsidP="00C21D55">
      <w:pPr>
        <w:tabs>
          <w:tab w:val="left" w:pos="4140"/>
        </w:tabs>
        <w:rPr>
          <w:rFonts w:ascii="Arial" w:hAnsi="Arial" w:cs="Arial"/>
          <w:b/>
          <w:sz w:val="22"/>
        </w:rPr>
      </w:pPr>
    </w:p>
    <w:p w14:paraId="34EA5D54" w14:textId="259369F3" w:rsidR="00C21D55" w:rsidRPr="005277C6" w:rsidRDefault="00710B32" w:rsidP="00C21D55">
      <w:pPr>
        <w:tabs>
          <w:tab w:val="left" w:pos="4140"/>
        </w:tabs>
        <w:rPr>
          <w:sz w:val="22"/>
        </w:rPr>
      </w:pPr>
      <w:r>
        <w:rPr>
          <w:rFonts w:ascii="Arial" w:eastAsia="Arial" w:hAnsi="Arial" w:cs="Arial"/>
          <w:b/>
          <w:sz w:val="22"/>
        </w:rPr>
        <w:t>A</w:t>
      </w:r>
      <w:r w:rsidR="00C21D55" w:rsidRPr="005277C6">
        <w:rPr>
          <w:rFonts w:ascii="Arial" w:eastAsia="Arial" w:hAnsi="Arial" w:cs="Arial"/>
          <w:b/>
          <w:sz w:val="22"/>
        </w:rPr>
        <w:t xml:space="preserve">bout </w:t>
      </w:r>
      <w:r w:rsidR="00FC360E">
        <w:rPr>
          <w:rFonts w:ascii="Arial" w:eastAsia="Arial" w:hAnsi="Arial" w:cs="Arial"/>
          <w:b/>
          <w:sz w:val="22"/>
        </w:rPr>
        <w:t>Samsung SDI</w:t>
      </w:r>
    </w:p>
    <w:p w14:paraId="2AB61C75" w14:textId="076A0CB4" w:rsidR="00F52E65" w:rsidRDefault="00196D9C" w:rsidP="00C21D55">
      <w:pPr>
        <w:spacing w:after="0" w:line="240" w:lineRule="auto"/>
        <w:rPr>
          <w:rFonts w:ascii="Arial" w:eastAsia="Arial" w:hAnsi="Arial" w:cs="Arial"/>
          <w:b/>
          <w:sz w:val="22"/>
        </w:rPr>
        <w:sectPr w:rsidR="00F52E65" w:rsidSect="00196D9C">
          <w:headerReference w:type="default" r:id="rId9"/>
          <w:pgSz w:w="11906" w:h="16838"/>
          <w:pgMar w:top="1701" w:right="1440" w:bottom="1440" w:left="1440" w:header="851" w:footer="992" w:gutter="0"/>
          <w:cols w:space="425"/>
          <w:docGrid w:linePitch="360"/>
        </w:sectPr>
      </w:pPr>
      <w:r w:rsidRPr="00B91785">
        <w:rPr>
          <w:rFonts w:ascii="Arial" w:eastAsia="Arial" w:hAnsi="Arial" w:cs="Arial"/>
          <w:sz w:val="22"/>
        </w:rPr>
        <w:t>Samsung SDI is a manufacturer of rechargeable batteries for the IT industry, automobiles, and energy storage systems (ESS), as well as cutting-edge materials used to produce semiconductors</w:t>
      </w:r>
      <w:r w:rsidR="000E631E">
        <w:rPr>
          <w:rFonts w:ascii="Arial" w:eastAsia="Arial" w:hAnsi="Arial" w:cs="Arial"/>
          <w:sz w:val="22"/>
        </w:rPr>
        <w:t xml:space="preserve"> and </w:t>
      </w:r>
      <w:r w:rsidRPr="00B91785">
        <w:rPr>
          <w:rFonts w:ascii="Arial" w:eastAsia="Arial" w:hAnsi="Arial" w:cs="Arial"/>
          <w:sz w:val="22"/>
        </w:rPr>
        <w:t>displays. Our executive managers and staff members focus efforts to develop the next generation</w:t>
      </w:r>
      <w:r w:rsidR="008C661C">
        <w:rPr>
          <w:rFonts w:ascii="Arial" w:eastAsia="Arial" w:hAnsi="Arial" w:cs="Arial"/>
          <w:sz w:val="22"/>
        </w:rPr>
        <w:t>’</w:t>
      </w:r>
      <w:r w:rsidRPr="00B91785">
        <w:rPr>
          <w:rFonts w:ascii="Arial" w:eastAsia="Arial" w:hAnsi="Arial" w:cs="Arial"/>
          <w:sz w:val="22"/>
        </w:rPr>
        <w:t>s growth drivers in order to secure Samsung SDI</w:t>
      </w:r>
      <w:r w:rsidR="008C661C">
        <w:rPr>
          <w:rFonts w:ascii="Arial" w:eastAsia="Arial" w:hAnsi="Arial" w:cs="Arial"/>
          <w:sz w:val="22"/>
        </w:rPr>
        <w:t>’</w:t>
      </w:r>
      <w:r w:rsidRPr="00B91785">
        <w:rPr>
          <w:rFonts w:ascii="Arial" w:eastAsia="Arial" w:hAnsi="Arial" w:cs="Arial"/>
          <w:sz w:val="22"/>
        </w:rPr>
        <w:t xml:space="preserve">s place as a creative leader in the energy and cutting-edge materials industry. </w:t>
      </w:r>
    </w:p>
    <w:p w14:paraId="03A85DD3" w14:textId="77777777" w:rsidR="0007479D" w:rsidRDefault="0007479D" w:rsidP="00C21D55">
      <w:pPr>
        <w:spacing w:after="0" w:line="240" w:lineRule="auto"/>
        <w:rPr>
          <w:rFonts w:ascii="Arial" w:eastAsia="Arial" w:hAnsi="Arial" w:cs="Arial"/>
          <w:b/>
          <w:sz w:val="22"/>
        </w:rPr>
      </w:pPr>
    </w:p>
    <w:p w14:paraId="3EBCC7FF" w14:textId="77777777" w:rsidR="00B91785" w:rsidRDefault="00B91785" w:rsidP="00FC360E">
      <w:pPr>
        <w:tabs>
          <w:tab w:val="left" w:pos="2592"/>
        </w:tabs>
        <w:spacing w:after="0" w:line="240" w:lineRule="auto"/>
        <w:rPr>
          <w:rFonts w:ascii="Arial" w:eastAsia="Arial" w:hAnsi="Arial" w:cs="Arial"/>
          <w:b/>
          <w:sz w:val="22"/>
        </w:rPr>
      </w:pPr>
    </w:p>
    <w:p w14:paraId="7E432562" w14:textId="77777777" w:rsidR="00B91785" w:rsidRDefault="00B91785" w:rsidP="00FC360E">
      <w:pPr>
        <w:tabs>
          <w:tab w:val="left" w:pos="2592"/>
        </w:tabs>
        <w:spacing w:after="0" w:line="240" w:lineRule="auto"/>
        <w:rPr>
          <w:rFonts w:ascii="Arial" w:eastAsia="Arial" w:hAnsi="Arial" w:cs="Arial"/>
          <w:b/>
          <w:sz w:val="22"/>
        </w:rPr>
      </w:pPr>
    </w:p>
    <w:p w14:paraId="283833F0" w14:textId="77777777" w:rsidR="00B91785" w:rsidRDefault="00B91785" w:rsidP="00FC360E">
      <w:pPr>
        <w:tabs>
          <w:tab w:val="left" w:pos="2592"/>
        </w:tabs>
        <w:spacing w:after="0" w:line="240" w:lineRule="auto"/>
        <w:rPr>
          <w:rFonts w:ascii="Arial" w:eastAsia="Arial" w:hAnsi="Arial" w:cs="Arial"/>
          <w:b/>
          <w:sz w:val="22"/>
        </w:rPr>
      </w:pPr>
    </w:p>
    <w:p w14:paraId="6A58E1E9" w14:textId="77777777" w:rsidR="00B91785" w:rsidRDefault="00B91785" w:rsidP="00FC360E">
      <w:pPr>
        <w:tabs>
          <w:tab w:val="left" w:pos="2592"/>
        </w:tabs>
        <w:spacing w:after="0" w:line="240" w:lineRule="auto"/>
        <w:rPr>
          <w:rFonts w:ascii="Arial" w:eastAsia="Arial" w:hAnsi="Arial" w:cs="Arial"/>
          <w:b/>
          <w:sz w:val="22"/>
        </w:rPr>
      </w:pPr>
    </w:p>
    <w:p w14:paraId="2548E6D2" w14:textId="34E9045B" w:rsidR="00FC360E" w:rsidRPr="00CD0D2D" w:rsidRDefault="00FC360E" w:rsidP="00FC360E">
      <w:pPr>
        <w:tabs>
          <w:tab w:val="left" w:pos="2592"/>
        </w:tabs>
        <w:spacing w:after="0" w:line="240" w:lineRule="auto"/>
        <w:rPr>
          <w:rFonts w:ascii="Arial" w:eastAsia="Arial" w:hAnsi="Arial" w:cs="Arial"/>
          <w:b/>
          <w:sz w:val="22"/>
        </w:rPr>
      </w:pPr>
      <w:r w:rsidRPr="00CD0D2D">
        <w:rPr>
          <w:rFonts w:ascii="Arial" w:eastAsia="Arial" w:hAnsi="Arial" w:cs="Arial"/>
          <w:b/>
          <w:sz w:val="22"/>
        </w:rPr>
        <w:t>Pierre-Olivier Salmon</w:t>
      </w:r>
      <w:r w:rsidRPr="00CD0D2D">
        <w:rPr>
          <w:rFonts w:ascii="Arial" w:eastAsia="Arial" w:hAnsi="Arial" w:cs="Arial"/>
          <w:b/>
          <w:sz w:val="22"/>
        </w:rPr>
        <w:tab/>
      </w:r>
    </w:p>
    <w:p w14:paraId="78CBD4A9" w14:textId="3445DDBC" w:rsidR="00FC360E" w:rsidRPr="00CD0D2D" w:rsidRDefault="00B91785" w:rsidP="00FC360E">
      <w:pPr>
        <w:tabs>
          <w:tab w:val="left" w:pos="2592"/>
        </w:tabs>
        <w:spacing w:after="0" w:line="240" w:lineRule="auto"/>
        <w:rPr>
          <w:rFonts w:ascii="Arial" w:eastAsia="Arial" w:hAnsi="Arial" w:cs="Arial"/>
          <w:sz w:val="22"/>
        </w:rPr>
      </w:pPr>
      <w:r w:rsidRPr="00CD0D2D">
        <w:rPr>
          <w:rFonts w:ascii="Arial" w:eastAsia="Arial" w:hAnsi="Arial" w:cs="Arial"/>
          <w:sz w:val="22"/>
        </w:rPr>
        <w:t xml:space="preserve">Stellantis </w:t>
      </w:r>
      <w:r w:rsidR="00FC360E" w:rsidRPr="00CD0D2D">
        <w:rPr>
          <w:rFonts w:ascii="Arial" w:eastAsia="Arial" w:hAnsi="Arial" w:cs="Arial"/>
          <w:sz w:val="22"/>
        </w:rPr>
        <w:t>Communications</w:t>
      </w:r>
    </w:p>
    <w:p w14:paraId="3EAA5773" w14:textId="49E1451A" w:rsidR="00FC360E" w:rsidRPr="00CD0D2D" w:rsidRDefault="00B91785" w:rsidP="00FC360E">
      <w:pPr>
        <w:tabs>
          <w:tab w:val="left" w:pos="2592"/>
        </w:tabs>
        <w:spacing w:after="0" w:line="240" w:lineRule="auto"/>
        <w:rPr>
          <w:rFonts w:ascii="Arial" w:eastAsia="Arial" w:hAnsi="Arial" w:cs="Arial"/>
          <w:sz w:val="22"/>
        </w:rPr>
      </w:pPr>
      <w:r w:rsidRPr="00CD0D2D">
        <w:rPr>
          <w:rFonts w:ascii="Arial" w:hAnsi="Arial" w:cs="Arial"/>
          <w:sz w:val="22"/>
        </w:rPr>
        <w:t>pierreolivier.salmon@stellantis.com</w:t>
      </w:r>
    </w:p>
    <w:p w14:paraId="27E99A97" w14:textId="77777777" w:rsidR="00FC360E" w:rsidRPr="00CD0D2D" w:rsidRDefault="00FC360E" w:rsidP="00FC360E">
      <w:pPr>
        <w:spacing w:after="0" w:line="240" w:lineRule="auto"/>
        <w:rPr>
          <w:rFonts w:ascii="Arial" w:eastAsia="Arial" w:hAnsi="Arial" w:cs="Arial"/>
          <w:sz w:val="22"/>
        </w:rPr>
      </w:pPr>
      <w:r w:rsidRPr="00CD0D2D">
        <w:rPr>
          <w:rFonts w:ascii="Arial" w:eastAsia="Arial" w:hAnsi="Arial" w:cs="Arial"/>
          <w:sz w:val="22"/>
        </w:rPr>
        <w:t>+33 676 86 45 48</w:t>
      </w:r>
    </w:p>
    <w:p w14:paraId="59057ACB" w14:textId="77777777" w:rsidR="00FC360E" w:rsidRDefault="00FC360E" w:rsidP="00C21D55">
      <w:pPr>
        <w:spacing w:after="0" w:line="240" w:lineRule="auto"/>
        <w:rPr>
          <w:rFonts w:ascii="Arial" w:eastAsia="Arial" w:hAnsi="Arial" w:cs="Arial"/>
          <w:b/>
          <w:sz w:val="22"/>
        </w:rPr>
      </w:pPr>
    </w:p>
    <w:p w14:paraId="6112B224" w14:textId="77777777" w:rsidR="00FC360E" w:rsidRPr="00CD0D2D" w:rsidRDefault="00FC360E" w:rsidP="00C21D55">
      <w:pPr>
        <w:spacing w:after="0" w:line="240" w:lineRule="auto"/>
        <w:rPr>
          <w:rFonts w:ascii="Arial" w:eastAsia="Arial" w:hAnsi="Arial" w:cs="Arial"/>
          <w:b/>
          <w:sz w:val="22"/>
        </w:rPr>
      </w:pPr>
    </w:p>
    <w:p w14:paraId="0C05C75B" w14:textId="2FD42C5F" w:rsidR="00224899" w:rsidRPr="00CD0D2D" w:rsidRDefault="00224899" w:rsidP="00224899">
      <w:pPr>
        <w:tabs>
          <w:tab w:val="left" w:pos="2592"/>
        </w:tabs>
        <w:spacing w:after="0" w:line="240" w:lineRule="auto"/>
        <w:rPr>
          <w:rFonts w:ascii="Arial" w:eastAsia="Arial" w:hAnsi="Arial" w:cs="Arial"/>
          <w:b/>
          <w:sz w:val="22"/>
        </w:rPr>
      </w:pPr>
      <w:proofErr w:type="spellStart"/>
      <w:r w:rsidRPr="00CD0D2D">
        <w:rPr>
          <w:rFonts w:ascii="Arial" w:eastAsia="Arial" w:hAnsi="Arial" w:cs="Arial"/>
          <w:b/>
          <w:sz w:val="22"/>
        </w:rPr>
        <w:t>Yangmo</w:t>
      </w:r>
      <w:proofErr w:type="spellEnd"/>
      <w:r w:rsidRPr="00CD0D2D">
        <w:rPr>
          <w:rFonts w:ascii="Arial" w:eastAsia="Arial" w:hAnsi="Arial" w:cs="Arial"/>
          <w:b/>
          <w:sz w:val="22"/>
        </w:rPr>
        <w:t xml:space="preserve"> Ku</w:t>
      </w:r>
      <w:r w:rsidRPr="00CD0D2D">
        <w:rPr>
          <w:rFonts w:ascii="Arial" w:eastAsia="Arial" w:hAnsi="Arial" w:cs="Arial"/>
          <w:b/>
          <w:sz w:val="22"/>
        </w:rPr>
        <w:tab/>
      </w:r>
    </w:p>
    <w:p w14:paraId="54BDA37B" w14:textId="09660B20" w:rsidR="00224899" w:rsidRPr="00CD0D2D" w:rsidRDefault="00B91785" w:rsidP="00224899">
      <w:pPr>
        <w:tabs>
          <w:tab w:val="left" w:pos="2592"/>
        </w:tabs>
        <w:spacing w:after="0" w:line="240" w:lineRule="auto"/>
        <w:rPr>
          <w:rFonts w:ascii="Arial" w:eastAsia="Arial" w:hAnsi="Arial" w:cs="Arial"/>
          <w:sz w:val="22"/>
        </w:rPr>
      </w:pPr>
      <w:r w:rsidRPr="00CD0D2D">
        <w:rPr>
          <w:rFonts w:ascii="Arial" w:eastAsia="Arial" w:hAnsi="Arial" w:cs="Arial"/>
          <w:sz w:val="22"/>
        </w:rPr>
        <w:t xml:space="preserve">Samsung SDI </w:t>
      </w:r>
      <w:r w:rsidR="00224899" w:rsidRPr="00CD0D2D">
        <w:rPr>
          <w:rFonts w:ascii="Arial" w:eastAsia="Arial" w:hAnsi="Arial" w:cs="Arial"/>
          <w:sz w:val="22"/>
        </w:rPr>
        <w:t>Communications</w:t>
      </w:r>
    </w:p>
    <w:p w14:paraId="59684BF2" w14:textId="1E3E9820" w:rsidR="00224899" w:rsidRPr="00CD0D2D" w:rsidRDefault="00224899" w:rsidP="00224899">
      <w:pPr>
        <w:tabs>
          <w:tab w:val="left" w:pos="2592"/>
        </w:tabs>
        <w:spacing w:after="0" w:line="240" w:lineRule="auto"/>
        <w:rPr>
          <w:rFonts w:ascii="Arial" w:hAnsi="Arial" w:cs="Arial"/>
          <w:sz w:val="22"/>
        </w:rPr>
      </w:pPr>
      <w:r w:rsidRPr="00CD0D2D">
        <w:rPr>
          <w:rFonts w:ascii="Arial" w:hAnsi="Arial" w:cs="Arial"/>
          <w:sz w:val="22"/>
        </w:rPr>
        <w:t>yangmo.ku@samsung.com</w:t>
      </w:r>
    </w:p>
    <w:p w14:paraId="44584799" w14:textId="61B0F862" w:rsidR="00224899" w:rsidRPr="00CD0D2D" w:rsidRDefault="00224899" w:rsidP="00224899">
      <w:pPr>
        <w:spacing w:after="0" w:line="240" w:lineRule="auto"/>
        <w:rPr>
          <w:rFonts w:ascii="Arial" w:eastAsia="Arial" w:hAnsi="Arial" w:cs="Arial"/>
          <w:sz w:val="22"/>
        </w:rPr>
      </w:pPr>
      <w:r w:rsidRPr="00CD0D2D">
        <w:rPr>
          <w:rFonts w:ascii="Arial" w:eastAsia="Arial" w:hAnsi="Arial" w:cs="Arial"/>
          <w:sz w:val="22"/>
        </w:rPr>
        <w:t>+82 2 2255 2617</w:t>
      </w:r>
    </w:p>
    <w:p w14:paraId="40347268" w14:textId="77777777" w:rsidR="0007479D" w:rsidRDefault="0007479D" w:rsidP="00C21D55">
      <w:pPr>
        <w:spacing w:after="0" w:line="240" w:lineRule="auto"/>
        <w:rPr>
          <w:rFonts w:ascii="Arial" w:hAnsi="Arial" w:cs="Arial"/>
          <w:sz w:val="22"/>
        </w:rPr>
      </w:pPr>
    </w:p>
    <w:p w14:paraId="5F584FE7" w14:textId="6B98A248" w:rsidR="00B91785" w:rsidRDefault="00B91785" w:rsidP="00C21D55">
      <w:pPr>
        <w:spacing w:after="0" w:line="240" w:lineRule="auto"/>
        <w:rPr>
          <w:rFonts w:ascii="Arial" w:hAnsi="Arial" w:cs="Arial"/>
          <w:sz w:val="22"/>
        </w:rPr>
      </w:pPr>
    </w:p>
    <w:p w14:paraId="5996930D" w14:textId="52E7F214" w:rsidR="00B91785" w:rsidRDefault="00B91785" w:rsidP="00C21D55">
      <w:pPr>
        <w:spacing w:after="0" w:line="240" w:lineRule="auto"/>
        <w:rPr>
          <w:rFonts w:ascii="Arial" w:hAnsi="Arial" w:cs="Arial"/>
          <w:sz w:val="22"/>
        </w:rPr>
      </w:pPr>
    </w:p>
    <w:p w14:paraId="273ECAD3" w14:textId="134C7DAE" w:rsidR="00B91785" w:rsidRDefault="00B91785" w:rsidP="00C21D55">
      <w:pPr>
        <w:spacing w:after="0" w:line="240" w:lineRule="auto"/>
        <w:rPr>
          <w:rFonts w:ascii="Arial" w:hAnsi="Arial" w:cs="Arial"/>
          <w:sz w:val="22"/>
        </w:rPr>
      </w:pPr>
    </w:p>
    <w:p w14:paraId="787E3288" w14:textId="77777777" w:rsidR="006740F6" w:rsidRDefault="006740F6" w:rsidP="00C21D55">
      <w:pPr>
        <w:spacing w:after="0" w:line="240" w:lineRule="auto"/>
        <w:rPr>
          <w:rFonts w:ascii="Arial" w:hAnsi="Arial" w:cs="Arial"/>
          <w:sz w:val="22"/>
        </w:rPr>
      </w:pPr>
    </w:p>
    <w:p w14:paraId="7FB3A4E4" w14:textId="7A7C682F" w:rsidR="00B91785" w:rsidRDefault="00B91785" w:rsidP="00C21D55">
      <w:pPr>
        <w:spacing w:after="0" w:line="240" w:lineRule="auto"/>
        <w:rPr>
          <w:rFonts w:ascii="Arial" w:hAnsi="Arial" w:cs="Arial"/>
          <w:sz w:val="22"/>
        </w:rPr>
      </w:pPr>
    </w:p>
    <w:p w14:paraId="11B5C59C" w14:textId="6C8197FD" w:rsidR="00B91785" w:rsidRDefault="00B91785" w:rsidP="00C21D55">
      <w:pPr>
        <w:spacing w:after="0" w:line="240" w:lineRule="auto"/>
        <w:rPr>
          <w:rFonts w:ascii="Arial" w:hAnsi="Arial" w:cs="Arial"/>
          <w:sz w:val="22"/>
        </w:rPr>
      </w:pPr>
    </w:p>
    <w:p w14:paraId="42B0B48E" w14:textId="1B1A05E4" w:rsidR="00B91785" w:rsidRDefault="00B91785" w:rsidP="00C21D55">
      <w:pPr>
        <w:spacing w:after="0" w:line="240" w:lineRule="auto"/>
        <w:rPr>
          <w:rFonts w:ascii="Arial" w:hAnsi="Arial" w:cs="Arial"/>
          <w:sz w:val="22"/>
        </w:rPr>
      </w:pPr>
    </w:p>
    <w:p w14:paraId="5060C82E" w14:textId="61AF6FDE" w:rsidR="00B91785" w:rsidRDefault="00B91785" w:rsidP="00C21D55">
      <w:pPr>
        <w:spacing w:after="0" w:line="240" w:lineRule="auto"/>
        <w:rPr>
          <w:rFonts w:ascii="Arial" w:hAnsi="Arial" w:cs="Arial"/>
          <w:sz w:val="22"/>
        </w:rPr>
      </w:pPr>
    </w:p>
    <w:p w14:paraId="22637FBA" w14:textId="62BBE908" w:rsidR="00B91785" w:rsidRDefault="00B91785" w:rsidP="00C21D55">
      <w:pPr>
        <w:spacing w:after="0" w:line="240" w:lineRule="auto"/>
        <w:rPr>
          <w:rFonts w:ascii="Arial" w:hAnsi="Arial" w:cs="Arial"/>
          <w:sz w:val="22"/>
        </w:rPr>
      </w:pPr>
    </w:p>
    <w:p w14:paraId="5DE7B27E" w14:textId="3946D8B7" w:rsidR="00B91785" w:rsidRDefault="00B91785" w:rsidP="00C21D55">
      <w:pPr>
        <w:spacing w:after="0" w:line="240" w:lineRule="auto"/>
        <w:rPr>
          <w:rFonts w:ascii="Arial" w:hAnsi="Arial" w:cs="Arial"/>
          <w:sz w:val="22"/>
        </w:rPr>
      </w:pPr>
    </w:p>
    <w:p w14:paraId="6DF4A464" w14:textId="7E554DEF" w:rsidR="00B91785" w:rsidRDefault="00B91785" w:rsidP="00C21D55">
      <w:pPr>
        <w:spacing w:after="0" w:line="240" w:lineRule="auto"/>
        <w:rPr>
          <w:rFonts w:ascii="Arial" w:hAnsi="Arial" w:cs="Arial"/>
          <w:sz w:val="22"/>
        </w:rPr>
      </w:pPr>
    </w:p>
    <w:p w14:paraId="299BD4F8" w14:textId="2931C344" w:rsidR="00B91785" w:rsidRDefault="00B91785" w:rsidP="00C21D55">
      <w:pPr>
        <w:spacing w:after="0" w:line="240" w:lineRule="auto"/>
        <w:rPr>
          <w:rFonts w:ascii="Arial" w:hAnsi="Arial" w:cs="Arial"/>
          <w:sz w:val="22"/>
        </w:rPr>
      </w:pPr>
    </w:p>
    <w:p w14:paraId="751CDA32" w14:textId="779418D4" w:rsidR="00B91785" w:rsidRDefault="00B91785" w:rsidP="00C21D55">
      <w:pPr>
        <w:spacing w:after="0" w:line="240" w:lineRule="auto"/>
        <w:rPr>
          <w:rFonts w:ascii="Arial" w:hAnsi="Arial" w:cs="Arial"/>
          <w:sz w:val="22"/>
        </w:rPr>
      </w:pPr>
    </w:p>
    <w:p w14:paraId="07897A00" w14:textId="192FD0C1" w:rsidR="00B91785" w:rsidRDefault="00B91785" w:rsidP="00C21D55">
      <w:pPr>
        <w:spacing w:after="0" w:line="240" w:lineRule="auto"/>
        <w:rPr>
          <w:rFonts w:ascii="Arial" w:hAnsi="Arial" w:cs="Arial"/>
          <w:sz w:val="22"/>
        </w:rPr>
      </w:pPr>
    </w:p>
    <w:p w14:paraId="5A6839C7" w14:textId="77777777" w:rsidR="00B91785" w:rsidRDefault="00B91785" w:rsidP="00C21D55">
      <w:pPr>
        <w:spacing w:after="0" w:line="240" w:lineRule="auto"/>
        <w:rPr>
          <w:rFonts w:ascii="Arial" w:hAnsi="Arial" w:cs="Arial"/>
          <w:sz w:val="22"/>
        </w:rPr>
      </w:pPr>
    </w:p>
    <w:p w14:paraId="4BC109DC" w14:textId="5B7F76C2" w:rsidR="00CE6AA6" w:rsidRPr="00830308" w:rsidRDefault="00EE7CB8" w:rsidP="00C21D55">
      <w:pPr>
        <w:spacing w:after="0" w:line="240" w:lineRule="auto"/>
        <w:rPr>
          <w:i/>
        </w:rPr>
      </w:pPr>
      <w:r w:rsidRPr="00830308">
        <w:rPr>
          <w:rStyle w:val="im"/>
          <w:rFonts w:ascii="Arial" w:hAnsi="Arial" w:cs="Arial"/>
          <w:b/>
          <w:bCs/>
          <w:shd w:val="clear" w:color="auto" w:fill="FFFFFF"/>
        </w:rPr>
        <w:t>Forward-Looking Statements</w:t>
      </w:r>
      <w:r w:rsidRPr="00830308">
        <w:rPr>
          <w:rFonts w:ascii="Arial" w:hAnsi="Arial" w:cs="Arial"/>
          <w:b/>
          <w:bCs/>
          <w:shd w:val="clear" w:color="auto" w:fill="FFFFFF"/>
        </w:rPr>
        <w:br/>
      </w:r>
      <w:r w:rsidRPr="00830308">
        <w:rPr>
          <w:rStyle w:val="im"/>
          <w:rFonts w:ascii="Arial" w:hAnsi="Arial" w:cs="Arial"/>
          <w:i/>
          <w:sz w:val="18"/>
          <w:shd w:val="clear" w:color="auto" w:fill="FFFFFF"/>
        </w:rPr>
        <w:t xml:space="preserve">This communication contains forward-looking statements. In particular, statements regarding future events and anticipated results of operations, business strategies, the anticipated benefits of the proposed transaction, future financial and operating results, the anticipated closing date for the proposed transaction and other anticipated aspects of our operations or operating results are forward-looking statements. These statements may include terms such as “may”, “will”, “expect”, “could”, “should”, “intend”, “estimate”, “anticipate”, “believe”, “remain”, “on track”, “design”, “target”, “objective”, “goal”, “forecast”, “projection”, “outlook”, “prospects”, “plan”, or similar terms. Forward-looking statements are not guarantees of future performance. Rather, they are based on </w:t>
      </w:r>
      <w:proofErr w:type="spellStart"/>
      <w:r w:rsidRPr="00830308">
        <w:rPr>
          <w:rStyle w:val="im"/>
          <w:rFonts w:ascii="Arial" w:hAnsi="Arial" w:cs="Arial"/>
          <w:i/>
          <w:sz w:val="18"/>
          <w:shd w:val="clear" w:color="auto" w:fill="FFFFFF"/>
        </w:rPr>
        <w:t>Stellantis</w:t>
      </w:r>
      <w:proofErr w:type="spellEnd"/>
      <w:r w:rsidR="008C661C">
        <w:rPr>
          <w:rStyle w:val="im"/>
          <w:rFonts w:ascii="Arial" w:hAnsi="Arial" w:cs="Arial"/>
          <w:i/>
          <w:sz w:val="18"/>
          <w:shd w:val="clear" w:color="auto" w:fill="FFFFFF"/>
        </w:rPr>
        <w:t>’</w:t>
      </w:r>
      <w:r w:rsidRPr="00830308">
        <w:rPr>
          <w:rStyle w:val="im"/>
          <w:rFonts w:ascii="Arial" w:hAnsi="Arial" w:cs="Arial"/>
          <w:i/>
          <w:sz w:val="18"/>
          <w:shd w:val="clear" w:color="auto" w:fill="FFFFFF"/>
        </w:rPr>
        <w:t xml:space="preserve"> current state of knowledge, future expectations and projections about future events and are by their nature, subject to inherent risks and uncertainties. They relate to events and depend on circumstances that may or may not occur or exist in the future and, as such, undue reliance should not be placed on them.</w:t>
      </w:r>
      <w:r w:rsidRPr="00830308">
        <w:rPr>
          <w:rFonts w:ascii="Arial" w:hAnsi="Arial" w:cs="Arial"/>
          <w:i/>
          <w:sz w:val="18"/>
          <w:shd w:val="clear" w:color="auto" w:fill="FFFFFF"/>
        </w:rPr>
        <w:br/>
      </w:r>
      <w:r w:rsidRPr="00830308">
        <w:rPr>
          <w:rFonts w:ascii="Arial" w:hAnsi="Arial" w:cs="Arial"/>
          <w:i/>
          <w:sz w:val="18"/>
          <w:shd w:val="clear" w:color="auto" w:fill="FFFFFF"/>
        </w:rPr>
        <w:br/>
      </w:r>
      <w:r w:rsidRPr="00830308">
        <w:rPr>
          <w:rStyle w:val="im"/>
          <w:rFonts w:ascii="Arial" w:hAnsi="Arial" w:cs="Arial"/>
          <w:i/>
          <w:sz w:val="18"/>
          <w:shd w:val="clear" w:color="auto" w:fill="FFFFFF"/>
        </w:rPr>
        <w:t>Actual results may differ materially from those expressed in forward-looking statements as a result of a variety of factors, including: uncertainties as to whether the proposed transaction discussed in this document will be consummated or as to the timing thereof; the satisfaction of the conditions precedent to consummation of the proposed transaction, including the ability to secure regulatory approvals on the terms expected, at all or in a timely manner; the risk that the businesses of the parties will be adversely impacted during the pendency of the proposed transaction; the ability of Stellantis to successfully integrate the Company</w:t>
      </w:r>
      <w:r w:rsidR="008C661C">
        <w:rPr>
          <w:rStyle w:val="im"/>
          <w:rFonts w:ascii="Arial" w:hAnsi="Arial" w:cs="Arial"/>
          <w:i/>
          <w:sz w:val="18"/>
          <w:shd w:val="clear" w:color="auto" w:fill="FFFFFF"/>
        </w:rPr>
        <w:t>’</w:t>
      </w:r>
      <w:r w:rsidRPr="00830308">
        <w:rPr>
          <w:rStyle w:val="im"/>
          <w:rFonts w:ascii="Arial" w:hAnsi="Arial" w:cs="Arial"/>
          <w:i/>
          <w:sz w:val="18"/>
          <w:shd w:val="clear" w:color="auto" w:fill="FFFFFF"/>
        </w:rPr>
        <w:t xml:space="preserve">s operations; business disruption following the transaction; the effect of the announcement of the transaction on the ability of the Company to retain and hire key personnel and maintain relationships with customers, suppliers and others with whom the Company does business; the impact of the COVID-19 pandemic, the ability of Stellantis to launch new products successfully and to maintain vehicle shipment volumes; changes in the global financial markets, general economic environment and changes in demand for automotive products, which is subject to cyclicality; changes in local economic and political conditions, changes in trade policy and the imposition of global and regional tariffs or tariffs targeted to the automotive industry, the enactment of tax reforms or other changes in tax laws and regulations; </w:t>
      </w:r>
      <w:proofErr w:type="spellStart"/>
      <w:r w:rsidRPr="00830308">
        <w:rPr>
          <w:rStyle w:val="im"/>
          <w:rFonts w:ascii="Arial" w:hAnsi="Arial" w:cs="Arial"/>
          <w:i/>
          <w:sz w:val="18"/>
          <w:shd w:val="clear" w:color="auto" w:fill="FFFFFF"/>
        </w:rPr>
        <w:t>Stellantis</w:t>
      </w:r>
      <w:bookmarkStart w:id="0" w:name="_GoBack"/>
      <w:proofErr w:type="spellEnd"/>
      <w:r w:rsidR="008C661C">
        <w:rPr>
          <w:rStyle w:val="im"/>
          <w:rFonts w:ascii="Arial" w:hAnsi="Arial" w:cs="Arial"/>
          <w:i/>
          <w:sz w:val="18"/>
          <w:shd w:val="clear" w:color="auto" w:fill="FFFFFF"/>
        </w:rPr>
        <w:t>’</w:t>
      </w:r>
      <w:bookmarkEnd w:id="0"/>
      <w:r w:rsidRPr="00830308">
        <w:rPr>
          <w:rStyle w:val="im"/>
          <w:rFonts w:ascii="Arial" w:hAnsi="Arial" w:cs="Arial"/>
          <w:i/>
          <w:sz w:val="18"/>
          <w:shd w:val="clear" w:color="auto" w:fill="FFFFFF"/>
        </w:rPr>
        <w:t xml:space="preserve"> ability to expand certain of their brands globally; its ability to offer innovative, attractive products; its ability to develop, manufacture and sell vehicles with advanced features including enhanced electrification, connectivity and autonomous-driving characteristics; various types of claims, lawsuits, governmental investigations and other contingencies, including product liability and warranty claims and environmental claims, investigations and lawsuits; material operating expenditures in relation to compliance with environmental, health and safety regulations; the intense level of competition in the automotive industry, which may increase due to consolidation; exposure to shortfalls in the funding of </w:t>
      </w:r>
      <w:proofErr w:type="spellStart"/>
      <w:r w:rsidRPr="00830308">
        <w:rPr>
          <w:rStyle w:val="im"/>
          <w:rFonts w:ascii="Arial" w:hAnsi="Arial" w:cs="Arial"/>
          <w:i/>
          <w:sz w:val="18"/>
          <w:shd w:val="clear" w:color="auto" w:fill="FFFFFF"/>
        </w:rPr>
        <w:t>Stellantis</w:t>
      </w:r>
      <w:proofErr w:type="spellEnd"/>
      <w:r w:rsidR="008C661C">
        <w:rPr>
          <w:rStyle w:val="im"/>
          <w:rFonts w:ascii="Arial" w:hAnsi="Arial" w:cs="Arial"/>
          <w:i/>
          <w:sz w:val="18"/>
          <w:shd w:val="clear" w:color="auto" w:fill="FFFFFF"/>
        </w:rPr>
        <w:t>’</w:t>
      </w:r>
      <w:r w:rsidRPr="00830308">
        <w:rPr>
          <w:rStyle w:val="im"/>
          <w:rFonts w:ascii="Arial" w:hAnsi="Arial" w:cs="Arial"/>
          <w:i/>
          <w:sz w:val="18"/>
          <w:shd w:val="clear" w:color="auto" w:fill="FFFFFF"/>
        </w:rPr>
        <w:t xml:space="preserve"> defined benefit pension plans; the ability to provide or arrange for access to adequate financing for dealers and retail customers and associated risks related to the establishment and operations of financial services companies; the ability to access funding to execute </w:t>
      </w:r>
      <w:proofErr w:type="spellStart"/>
      <w:r w:rsidRPr="00830308">
        <w:rPr>
          <w:rStyle w:val="im"/>
          <w:rFonts w:ascii="Arial" w:hAnsi="Arial" w:cs="Arial"/>
          <w:i/>
          <w:sz w:val="18"/>
          <w:shd w:val="clear" w:color="auto" w:fill="FFFFFF"/>
        </w:rPr>
        <w:t>Stellantis</w:t>
      </w:r>
      <w:proofErr w:type="spellEnd"/>
      <w:r w:rsidR="008C661C">
        <w:rPr>
          <w:rStyle w:val="im"/>
          <w:rFonts w:ascii="Arial" w:hAnsi="Arial" w:cs="Arial"/>
          <w:i/>
          <w:sz w:val="18"/>
          <w:shd w:val="clear" w:color="auto" w:fill="FFFFFF"/>
        </w:rPr>
        <w:t>’</w:t>
      </w:r>
      <w:r w:rsidRPr="00830308">
        <w:rPr>
          <w:rStyle w:val="im"/>
          <w:rFonts w:ascii="Arial" w:hAnsi="Arial" w:cs="Arial"/>
          <w:i/>
          <w:sz w:val="18"/>
          <w:shd w:val="clear" w:color="auto" w:fill="FFFFFF"/>
        </w:rPr>
        <w:t xml:space="preserve"> business plans and improve its businesses, financial condition and results of operations; a significant malfunction, disruption or security breach compromising information technology systems or the electronic control systems contained in </w:t>
      </w:r>
      <w:proofErr w:type="spellStart"/>
      <w:r w:rsidRPr="00830308">
        <w:rPr>
          <w:rStyle w:val="im"/>
          <w:rFonts w:ascii="Arial" w:hAnsi="Arial" w:cs="Arial"/>
          <w:i/>
          <w:sz w:val="18"/>
          <w:shd w:val="clear" w:color="auto" w:fill="FFFFFF"/>
        </w:rPr>
        <w:t>Stellantis</w:t>
      </w:r>
      <w:proofErr w:type="spellEnd"/>
      <w:r w:rsidR="008C661C">
        <w:rPr>
          <w:rStyle w:val="im"/>
          <w:rFonts w:ascii="Arial" w:hAnsi="Arial" w:cs="Arial"/>
          <w:i/>
          <w:sz w:val="18"/>
          <w:shd w:val="clear" w:color="auto" w:fill="FFFFFF"/>
        </w:rPr>
        <w:t>’</w:t>
      </w:r>
      <w:r w:rsidRPr="00830308">
        <w:rPr>
          <w:rStyle w:val="im"/>
          <w:rFonts w:ascii="Arial" w:hAnsi="Arial" w:cs="Arial"/>
          <w:i/>
          <w:sz w:val="18"/>
          <w:shd w:val="clear" w:color="auto" w:fill="FFFFFF"/>
        </w:rPr>
        <w:t xml:space="preserve"> vehicles; </w:t>
      </w:r>
      <w:proofErr w:type="spellStart"/>
      <w:r w:rsidRPr="00830308">
        <w:rPr>
          <w:rStyle w:val="im"/>
          <w:rFonts w:ascii="Arial" w:hAnsi="Arial" w:cs="Arial"/>
          <w:i/>
          <w:sz w:val="18"/>
          <w:shd w:val="clear" w:color="auto" w:fill="FFFFFF"/>
        </w:rPr>
        <w:t>Stellantis</w:t>
      </w:r>
      <w:proofErr w:type="spellEnd"/>
      <w:r w:rsidR="008C661C">
        <w:rPr>
          <w:rStyle w:val="im"/>
          <w:rFonts w:ascii="Arial" w:hAnsi="Arial" w:cs="Arial"/>
          <w:i/>
          <w:sz w:val="18"/>
          <w:shd w:val="clear" w:color="auto" w:fill="FFFFFF"/>
        </w:rPr>
        <w:t>’</w:t>
      </w:r>
      <w:r w:rsidRPr="00830308">
        <w:rPr>
          <w:rStyle w:val="im"/>
          <w:rFonts w:ascii="Arial" w:hAnsi="Arial" w:cs="Arial"/>
          <w:i/>
          <w:sz w:val="18"/>
          <w:shd w:val="clear" w:color="auto" w:fill="FFFFFF"/>
        </w:rPr>
        <w:t xml:space="preserve"> ability to realize anticipated benefits from joint venture arrangements; disruptions arising from political, social and economic instability; risks associated with our relationships with employees, dealers and suppliers; increases in costs, disruptions of supply or shortages of raw materials, parts, components and systems used in </w:t>
      </w:r>
      <w:proofErr w:type="spellStart"/>
      <w:r w:rsidRPr="00830308">
        <w:rPr>
          <w:rStyle w:val="im"/>
          <w:rFonts w:ascii="Arial" w:hAnsi="Arial" w:cs="Arial"/>
          <w:i/>
          <w:sz w:val="18"/>
          <w:shd w:val="clear" w:color="auto" w:fill="FFFFFF"/>
        </w:rPr>
        <w:t>Stellantis</w:t>
      </w:r>
      <w:proofErr w:type="spellEnd"/>
      <w:r w:rsidR="008C661C">
        <w:rPr>
          <w:rStyle w:val="im"/>
          <w:rFonts w:ascii="Arial" w:hAnsi="Arial" w:cs="Arial"/>
          <w:i/>
          <w:sz w:val="18"/>
          <w:shd w:val="clear" w:color="auto" w:fill="FFFFFF"/>
        </w:rPr>
        <w:t>’</w:t>
      </w:r>
      <w:r w:rsidRPr="00830308">
        <w:rPr>
          <w:rStyle w:val="im"/>
          <w:rFonts w:ascii="Arial" w:hAnsi="Arial" w:cs="Arial"/>
          <w:i/>
          <w:sz w:val="18"/>
          <w:shd w:val="clear" w:color="auto" w:fill="FFFFFF"/>
        </w:rPr>
        <w:t xml:space="preserve"> vehicles; developments in labor and industrial relations and developments in applicable labor laws; exchange rate fluctuations, interest rate changes, credit risk and other market risks; political and civil unrest; earthquakes or other disasters; and other risks and uncertainties.</w:t>
      </w:r>
      <w:r w:rsidRPr="00830308">
        <w:rPr>
          <w:rFonts w:ascii="Arial" w:hAnsi="Arial" w:cs="Arial"/>
          <w:i/>
          <w:sz w:val="18"/>
          <w:shd w:val="clear" w:color="auto" w:fill="FFFFFF"/>
        </w:rPr>
        <w:br/>
      </w:r>
      <w:r w:rsidRPr="00830308">
        <w:rPr>
          <w:rFonts w:ascii="Arial" w:hAnsi="Arial" w:cs="Arial"/>
          <w:i/>
          <w:sz w:val="18"/>
          <w:shd w:val="clear" w:color="auto" w:fill="FFFFFF"/>
        </w:rPr>
        <w:br/>
        <w:t xml:space="preserve">Any forward-looking statements contained in this communication speak only as of the date of this document and Stellantis disclaims any obligation to update or revise publicly forward-looking statements. Further information concerning Stellantis and its businesses, including factors that could materially affect </w:t>
      </w:r>
      <w:proofErr w:type="spellStart"/>
      <w:r w:rsidRPr="00830308">
        <w:rPr>
          <w:rFonts w:ascii="Arial" w:hAnsi="Arial" w:cs="Arial"/>
          <w:i/>
          <w:sz w:val="18"/>
          <w:shd w:val="clear" w:color="auto" w:fill="FFFFFF"/>
        </w:rPr>
        <w:t>Stellantis</w:t>
      </w:r>
      <w:proofErr w:type="spellEnd"/>
      <w:r w:rsidR="008C661C">
        <w:rPr>
          <w:rFonts w:ascii="Arial" w:hAnsi="Arial" w:cs="Arial"/>
          <w:i/>
          <w:sz w:val="18"/>
          <w:shd w:val="clear" w:color="auto" w:fill="FFFFFF"/>
        </w:rPr>
        <w:t>’</w:t>
      </w:r>
      <w:r w:rsidRPr="00830308">
        <w:rPr>
          <w:rFonts w:ascii="Arial" w:hAnsi="Arial" w:cs="Arial"/>
          <w:i/>
          <w:sz w:val="18"/>
          <w:shd w:val="clear" w:color="auto" w:fill="FFFFFF"/>
        </w:rPr>
        <w:t xml:space="preserve"> financial results, is included in </w:t>
      </w:r>
      <w:proofErr w:type="spellStart"/>
      <w:r w:rsidRPr="00830308">
        <w:rPr>
          <w:rFonts w:ascii="Arial" w:hAnsi="Arial" w:cs="Arial"/>
          <w:i/>
          <w:sz w:val="18"/>
          <w:shd w:val="clear" w:color="auto" w:fill="FFFFFF"/>
        </w:rPr>
        <w:t>Stellantis</w:t>
      </w:r>
      <w:proofErr w:type="spellEnd"/>
      <w:r w:rsidR="008C661C">
        <w:rPr>
          <w:rFonts w:ascii="Arial" w:hAnsi="Arial" w:cs="Arial"/>
          <w:i/>
          <w:sz w:val="18"/>
          <w:shd w:val="clear" w:color="auto" w:fill="FFFFFF"/>
        </w:rPr>
        <w:t>’</w:t>
      </w:r>
      <w:r w:rsidRPr="00830308">
        <w:rPr>
          <w:rFonts w:ascii="Arial" w:hAnsi="Arial" w:cs="Arial"/>
          <w:i/>
          <w:sz w:val="18"/>
          <w:shd w:val="clear" w:color="auto" w:fill="FFFFFF"/>
        </w:rPr>
        <w:t xml:space="preserve"> reports and filings with the U.S. Securities and Exchange Commission and</w:t>
      </w:r>
      <w:r w:rsidR="00D8190D" w:rsidRPr="00830308">
        <w:rPr>
          <w:rFonts w:ascii="Arial" w:hAnsi="Arial" w:cs="Arial"/>
          <w:i/>
          <w:sz w:val="18"/>
          <w:shd w:val="clear" w:color="auto" w:fill="FFFFFF"/>
        </w:rPr>
        <w:t xml:space="preserve"> AFM</w:t>
      </w:r>
      <w:r w:rsidRPr="00830308">
        <w:rPr>
          <w:rFonts w:ascii="Arial" w:hAnsi="Arial" w:cs="Arial"/>
          <w:i/>
          <w:sz w:val="18"/>
          <w:shd w:val="clear" w:color="auto" w:fill="FFFFFF"/>
        </w:rPr>
        <w:t>.</w:t>
      </w:r>
    </w:p>
    <w:sectPr w:rsidR="00CE6AA6" w:rsidRPr="00830308" w:rsidSect="00F52E65">
      <w:type w:val="continuous"/>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378FC" w14:textId="77777777" w:rsidR="006C7BA7" w:rsidRDefault="006C7BA7" w:rsidP="005C18FB">
      <w:pPr>
        <w:spacing w:after="0" w:line="240" w:lineRule="auto"/>
      </w:pPr>
      <w:r>
        <w:separator/>
      </w:r>
    </w:p>
  </w:endnote>
  <w:endnote w:type="continuationSeparator" w:id="0">
    <w:p w14:paraId="6B895350" w14:textId="77777777" w:rsidR="006C7BA7" w:rsidRDefault="006C7BA7" w:rsidP="005C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C4214" w14:textId="77777777" w:rsidR="006C7BA7" w:rsidRDefault="006C7BA7" w:rsidP="005C18FB">
      <w:pPr>
        <w:spacing w:after="0" w:line="240" w:lineRule="auto"/>
      </w:pPr>
      <w:r>
        <w:separator/>
      </w:r>
    </w:p>
  </w:footnote>
  <w:footnote w:type="continuationSeparator" w:id="0">
    <w:p w14:paraId="2FC1B569" w14:textId="77777777" w:rsidR="006C7BA7" w:rsidRDefault="006C7BA7" w:rsidP="005C1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AAE75" w14:textId="562E4BE4" w:rsidR="00184269" w:rsidRDefault="00184269">
    <w:pPr>
      <w:pStyle w:val="Header"/>
    </w:pPr>
    <w:r>
      <w:rPr>
        <w:noProof/>
        <w:lang w:eastAsia="en-US"/>
      </w:rPr>
      <w:drawing>
        <wp:inline distT="0" distB="0" distL="0" distR="0" wp14:anchorId="23E463A8" wp14:editId="0BCFE1DA">
          <wp:extent cx="1811663" cy="465259"/>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llantis_Po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0920" cy="477909"/>
                  </a:xfrm>
                  <a:prstGeom prst="rect">
                    <a:avLst/>
                  </a:prstGeom>
                </pic:spPr>
              </pic:pic>
            </a:graphicData>
          </a:graphic>
        </wp:inline>
      </w:drawing>
    </w:r>
    <w:r w:rsidRPr="00531AAB">
      <w:t xml:space="preserve"> </w:t>
    </w:r>
    <w:r>
      <w:rPr>
        <w:noProof/>
        <w:lang w:eastAsia="en-US"/>
      </w:rPr>
      <w:drawing>
        <wp:inline distT="0" distB="0" distL="0" distR="0" wp14:anchorId="5CAA044E" wp14:editId="62C2B8B4">
          <wp:extent cx="2362200" cy="539931"/>
          <wp:effectExtent l="0" t="0" r="0" b="0"/>
          <wp:docPr id="14" name="Picture 1" descr="Samsung SDI to Acquire Magna International&amp;#39;s Battery Pack Business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sung SDI to Acquire Magna International&amp;#39;s Battery Pack Business |  Business Wire"/>
                  <pic:cNvPicPr>
                    <a:picLocks noChangeAspect="1" noChangeArrowheads="1"/>
                  </pic:cNvPicPr>
                </pic:nvPicPr>
                <pic:blipFill rotWithShape="1">
                  <a:blip r:embed="rId2">
                    <a:extLst>
                      <a:ext uri="{28A0092B-C50C-407E-A947-70E740481C1C}">
                        <a14:useLocalDpi xmlns:a14="http://schemas.microsoft.com/office/drawing/2010/main" val="0"/>
                      </a:ext>
                    </a:extLst>
                  </a:blip>
                  <a:srcRect l="8718" t="29189" r="6519" b="33743"/>
                  <a:stretch/>
                </pic:blipFill>
                <pic:spPr bwMode="auto">
                  <a:xfrm>
                    <a:off x="0" y="0"/>
                    <a:ext cx="2411790" cy="551266"/>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61486"/>
    <w:multiLevelType w:val="multilevel"/>
    <w:tmpl w:val="24DC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61"/>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FB"/>
    <w:rsid w:val="000021FC"/>
    <w:rsid w:val="0000501C"/>
    <w:rsid w:val="00030215"/>
    <w:rsid w:val="000462B9"/>
    <w:rsid w:val="000509BD"/>
    <w:rsid w:val="00056A45"/>
    <w:rsid w:val="00060B4C"/>
    <w:rsid w:val="00061EF5"/>
    <w:rsid w:val="00072F4E"/>
    <w:rsid w:val="0007479D"/>
    <w:rsid w:val="00083FEF"/>
    <w:rsid w:val="00085B8B"/>
    <w:rsid w:val="00087F5F"/>
    <w:rsid w:val="000903BB"/>
    <w:rsid w:val="00091B76"/>
    <w:rsid w:val="000A1BB1"/>
    <w:rsid w:val="000A2638"/>
    <w:rsid w:val="000A58CB"/>
    <w:rsid w:val="000A771D"/>
    <w:rsid w:val="000B4467"/>
    <w:rsid w:val="000C0A30"/>
    <w:rsid w:val="000D0398"/>
    <w:rsid w:val="000D5583"/>
    <w:rsid w:val="000E631E"/>
    <w:rsid w:val="000F7DB5"/>
    <w:rsid w:val="00137F00"/>
    <w:rsid w:val="00167725"/>
    <w:rsid w:val="00167900"/>
    <w:rsid w:val="00184269"/>
    <w:rsid w:val="00194CA4"/>
    <w:rsid w:val="00196D9C"/>
    <w:rsid w:val="001C0C01"/>
    <w:rsid w:val="001C71FF"/>
    <w:rsid w:val="001D23CC"/>
    <w:rsid w:val="001E3C0F"/>
    <w:rsid w:val="001E40DC"/>
    <w:rsid w:val="001E7F73"/>
    <w:rsid w:val="001F2D9D"/>
    <w:rsid w:val="00205671"/>
    <w:rsid w:val="00224899"/>
    <w:rsid w:val="002376AE"/>
    <w:rsid w:val="002438F1"/>
    <w:rsid w:val="00251D8A"/>
    <w:rsid w:val="00256312"/>
    <w:rsid w:val="002658B8"/>
    <w:rsid w:val="00280E58"/>
    <w:rsid w:val="002972A8"/>
    <w:rsid w:val="002B05E2"/>
    <w:rsid w:val="002B3481"/>
    <w:rsid w:val="002B7691"/>
    <w:rsid w:val="002C1C43"/>
    <w:rsid w:val="002E5974"/>
    <w:rsid w:val="00300D4F"/>
    <w:rsid w:val="00306B6A"/>
    <w:rsid w:val="00320693"/>
    <w:rsid w:val="00321107"/>
    <w:rsid w:val="00343AB6"/>
    <w:rsid w:val="00346049"/>
    <w:rsid w:val="003628BB"/>
    <w:rsid w:val="00370FBE"/>
    <w:rsid w:val="00377454"/>
    <w:rsid w:val="0038506D"/>
    <w:rsid w:val="003939D4"/>
    <w:rsid w:val="003963F6"/>
    <w:rsid w:val="003A453F"/>
    <w:rsid w:val="003C132F"/>
    <w:rsid w:val="003C2B71"/>
    <w:rsid w:val="003D7213"/>
    <w:rsid w:val="003E0D73"/>
    <w:rsid w:val="003E6DAA"/>
    <w:rsid w:val="003F03F9"/>
    <w:rsid w:val="0040099D"/>
    <w:rsid w:val="0040686A"/>
    <w:rsid w:val="00420839"/>
    <w:rsid w:val="00422989"/>
    <w:rsid w:val="00430FF5"/>
    <w:rsid w:val="004348F9"/>
    <w:rsid w:val="00450F5B"/>
    <w:rsid w:val="00455EAF"/>
    <w:rsid w:val="00457EA7"/>
    <w:rsid w:val="004653CC"/>
    <w:rsid w:val="00483F97"/>
    <w:rsid w:val="00487036"/>
    <w:rsid w:val="00496B07"/>
    <w:rsid w:val="004B25B8"/>
    <w:rsid w:val="004B4DA8"/>
    <w:rsid w:val="004B5E3B"/>
    <w:rsid w:val="004C0F5B"/>
    <w:rsid w:val="004C2DFB"/>
    <w:rsid w:val="004C715A"/>
    <w:rsid w:val="004D2215"/>
    <w:rsid w:val="004F525E"/>
    <w:rsid w:val="00504954"/>
    <w:rsid w:val="00531AAB"/>
    <w:rsid w:val="00531FE6"/>
    <w:rsid w:val="005336A5"/>
    <w:rsid w:val="00556DFE"/>
    <w:rsid w:val="00566BD0"/>
    <w:rsid w:val="00572F5B"/>
    <w:rsid w:val="00584DA4"/>
    <w:rsid w:val="00591E94"/>
    <w:rsid w:val="005A46A2"/>
    <w:rsid w:val="005A49A6"/>
    <w:rsid w:val="005B4C52"/>
    <w:rsid w:val="005C18FB"/>
    <w:rsid w:val="005C22E7"/>
    <w:rsid w:val="005C636E"/>
    <w:rsid w:val="005D29FA"/>
    <w:rsid w:val="005E0086"/>
    <w:rsid w:val="005E32F9"/>
    <w:rsid w:val="005E7310"/>
    <w:rsid w:val="00630C93"/>
    <w:rsid w:val="0063132B"/>
    <w:rsid w:val="00633B1A"/>
    <w:rsid w:val="006376ED"/>
    <w:rsid w:val="006400E9"/>
    <w:rsid w:val="00664CBA"/>
    <w:rsid w:val="006740F6"/>
    <w:rsid w:val="00683A89"/>
    <w:rsid w:val="006A1ED6"/>
    <w:rsid w:val="006A5724"/>
    <w:rsid w:val="006C719D"/>
    <w:rsid w:val="006C7BA7"/>
    <w:rsid w:val="006D34B2"/>
    <w:rsid w:val="006D5382"/>
    <w:rsid w:val="006F6C3B"/>
    <w:rsid w:val="00700625"/>
    <w:rsid w:val="00706635"/>
    <w:rsid w:val="00707F0F"/>
    <w:rsid w:val="00710B32"/>
    <w:rsid w:val="00747645"/>
    <w:rsid w:val="0075149D"/>
    <w:rsid w:val="00757802"/>
    <w:rsid w:val="00762A41"/>
    <w:rsid w:val="007662EE"/>
    <w:rsid w:val="00776C91"/>
    <w:rsid w:val="007820FE"/>
    <w:rsid w:val="007B2A6E"/>
    <w:rsid w:val="007D2F7F"/>
    <w:rsid w:val="007D7C03"/>
    <w:rsid w:val="007F6591"/>
    <w:rsid w:val="0082685E"/>
    <w:rsid w:val="00830308"/>
    <w:rsid w:val="00865397"/>
    <w:rsid w:val="00866FFB"/>
    <w:rsid w:val="00881420"/>
    <w:rsid w:val="00886319"/>
    <w:rsid w:val="0088669E"/>
    <w:rsid w:val="00894703"/>
    <w:rsid w:val="00897EB8"/>
    <w:rsid w:val="008A10A3"/>
    <w:rsid w:val="008B1463"/>
    <w:rsid w:val="008C661C"/>
    <w:rsid w:val="008E0ED6"/>
    <w:rsid w:val="0092262A"/>
    <w:rsid w:val="009403BA"/>
    <w:rsid w:val="00942D14"/>
    <w:rsid w:val="00965494"/>
    <w:rsid w:val="0096567D"/>
    <w:rsid w:val="009B45A3"/>
    <w:rsid w:val="009C3C7C"/>
    <w:rsid w:val="009C61CF"/>
    <w:rsid w:val="00A00997"/>
    <w:rsid w:val="00A00F0B"/>
    <w:rsid w:val="00A03072"/>
    <w:rsid w:val="00A16089"/>
    <w:rsid w:val="00A17B59"/>
    <w:rsid w:val="00A46D29"/>
    <w:rsid w:val="00A56AC6"/>
    <w:rsid w:val="00A757D6"/>
    <w:rsid w:val="00A76972"/>
    <w:rsid w:val="00A83300"/>
    <w:rsid w:val="00A977C7"/>
    <w:rsid w:val="00AA3778"/>
    <w:rsid w:val="00AB2E64"/>
    <w:rsid w:val="00AC5747"/>
    <w:rsid w:val="00AC60BD"/>
    <w:rsid w:val="00AE1753"/>
    <w:rsid w:val="00B118EC"/>
    <w:rsid w:val="00B13D6C"/>
    <w:rsid w:val="00B41A9F"/>
    <w:rsid w:val="00B4680B"/>
    <w:rsid w:val="00B64A28"/>
    <w:rsid w:val="00B67462"/>
    <w:rsid w:val="00B74B22"/>
    <w:rsid w:val="00B84C81"/>
    <w:rsid w:val="00B91785"/>
    <w:rsid w:val="00B9411E"/>
    <w:rsid w:val="00BA56F2"/>
    <w:rsid w:val="00BC74AF"/>
    <w:rsid w:val="00BD6BE3"/>
    <w:rsid w:val="00BE1991"/>
    <w:rsid w:val="00BE1A93"/>
    <w:rsid w:val="00BF3AFB"/>
    <w:rsid w:val="00C1705B"/>
    <w:rsid w:val="00C21D55"/>
    <w:rsid w:val="00C4557F"/>
    <w:rsid w:val="00C54891"/>
    <w:rsid w:val="00C60404"/>
    <w:rsid w:val="00C61A4B"/>
    <w:rsid w:val="00C628B0"/>
    <w:rsid w:val="00C9029D"/>
    <w:rsid w:val="00CA1CB5"/>
    <w:rsid w:val="00CA3432"/>
    <w:rsid w:val="00CD0D2D"/>
    <w:rsid w:val="00CD3D45"/>
    <w:rsid w:val="00CE1756"/>
    <w:rsid w:val="00CE6AA6"/>
    <w:rsid w:val="00CF467D"/>
    <w:rsid w:val="00D0448F"/>
    <w:rsid w:val="00D0578F"/>
    <w:rsid w:val="00D25B44"/>
    <w:rsid w:val="00D63A40"/>
    <w:rsid w:val="00D671BE"/>
    <w:rsid w:val="00D725CB"/>
    <w:rsid w:val="00D74CC8"/>
    <w:rsid w:val="00D74DE2"/>
    <w:rsid w:val="00D8190D"/>
    <w:rsid w:val="00D9100E"/>
    <w:rsid w:val="00D92195"/>
    <w:rsid w:val="00DB3ECD"/>
    <w:rsid w:val="00DC0A0B"/>
    <w:rsid w:val="00DC59C6"/>
    <w:rsid w:val="00DC6B38"/>
    <w:rsid w:val="00DE142F"/>
    <w:rsid w:val="00E055DA"/>
    <w:rsid w:val="00E07170"/>
    <w:rsid w:val="00E60996"/>
    <w:rsid w:val="00E66A11"/>
    <w:rsid w:val="00E70FFD"/>
    <w:rsid w:val="00E75223"/>
    <w:rsid w:val="00E81D29"/>
    <w:rsid w:val="00EA73D3"/>
    <w:rsid w:val="00EA7D05"/>
    <w:rsid w:val="00EA7F09"/>
    <w:rsid w:val="00ED0953"/>
    <w:rsid w:val="00EE7CB8"/>
    <w:rsid w:val="00EF62C4"/>
    <w:rsid w:val="00F0146E"/>
    <w:rsid w:val="00F15499"/>
    <w:rsid w:val="00F21B43"/>
    <w:rsid w:val="00F330A8"/>
    <w:rsid w:val="00F36D64"/>
    <w:rsid w:val="00F460EF"/>
    <w:rsid w:val="00F475E5"/>
    <w:rsid w:val="00F52E65"/>
    <w:rsid w:val="00F541DE"/>
    <w:rsid w:val="00F571A4"/>
    <w:rsid w:val="00F64CE2"/>
    <w:rsid w:val="00F75034"/>
    <w:rsid w:val="00F917C1"/>
    <w:rsid w:val="00F96DE7"/>
    <w:rsid w:val="00F97EDB"/>
    <w:rsid w:val="00FA6852"/>
    <w:rsid w:val="00FC098A"/>
    <w:rsid w:val="00FC360E"/>
    <w:rsid w:val="00FE2BEC"/>
    <w:rsid w:val="00FE5C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4D8B6"/>
  <w15:chartTrackingRefBased/>
  <w15:docId w15:val="{60073FC7-032F-4215-BB24-DE6073EB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8FB"/>
    <w:pPr>
      <w:widowControl w:val="0"/>
      <w:wordWrap w:val="0"/>
      <w:autoSpaceDE w:val="0"/>
      <w:autoSpaceDN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8FB"/>
    <w:pPr>
      <w:tabs>
        <w:tab w:val="center" w:pos="4513"/>
        <w:tab w:val="right" w:pos="9026"/>
      </w:tabs>
      <w:snapToGrid w:val="0"/>
    </w:pPr>
  </w:style>
  <w:style w:type="character" w:customStyle="1" w:styleId="HeaderChar">
    <w:name w:val="Header Char"/>
    <w:basedOn w:val="DefaultParagraphFont"/>
    <w:link w:val="Header"/>
    <w:uiPriority w:val="99"/>
    <w:rsid w:val="005C18FB"/>
  </w:style>
  <w:style w:type="paragraph" w:styleId="Footer">
    <w:name w:val="footer"/>
    <w:basedOn w:val="Normal"/>
    <w:link w:val="FooterChar"/>
    <w:uiPriority w:val="99"/>
    <w:unhideWhenUsed/>
    <w:rsid w:val="005C18FB"/>
    <w:pPr>
      <w:tabs>
        <w:tab w:val="center" w:pos="4513"/>
        <w:tab w:val="right" w:pos="9026"/>
      </w:tabs>
      <w:snapToGrid w:val="0"/>
    </w:pPr>
  </w:style>
  <w:style w:type="character" w:customStyle="1" w:styleId="FooterChar">
    <w:name w:val="Footer Char"/>
    <w:basedOn w:val="DefaultParagraphFont"/>
    <w:link w:val="Footer"/>
    <w:uiPriority w:val="99"/>
    <w:rsid w:val="005C18FB"/>
  </w:style>
  <w:style w:type="character" w:styleId="Hyperlink">
    <w:name w:val="Hyperlink"/>
    <w:uiPriority w:val="99"/>
    <w:rsid w:val="00C21D55"/>
    <w:rPr>
      <w:color w:val="0000FF"/>
      <w:u w:val="single"/>
    </w:rPr>
  </w:style>
  <w:style w:type="paragraph" w:styleId="BalloonText">
    <w:name w:val="Balloon Text"/>
    <w:basedOn w:val="Normal"/>
    <w:link w:val="BalloonTextChar"/>
    <w:uiPriority w:val="99"/>
    <w:semiHidden/>
    <w:unhideWhenUsed/>
    <w:rsid w:val="00496B0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96B07"/>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205671"/>
    <w:rPr>
      <w:sz w:val="16"/>
      <w:szCs w:val="16"/>
    </w:rPr>
  </w:style>
  <w:style w:type="paragraph" w:styleId="CommentText">
    <w:name w:val="annotation text"/>
    <w:basedOn w:val="Normal"/>
    <w:link w:val="CommentTextChar"/>
    <w:uiPriority w:val="99"/>
    <w:semiHidden/>
    <w:unhideWhenUsed/>
    <w:rsid w:val="00205671"/>
    <w:pPr>
      <w:spacing w:line="240" w:lineRule="auto"/>
    </w:pPr>
    <w:rPr>
      <w:szCs w:val="20"/>
    </w:rPr>
  </w:style>
  <w:style w:type="character" w:customStyle="1" w:styleId="CommentTextChar">
    <w:name w:val="Comment Text Char"/>
    <w:basedOn w:val="DefaultParagraphFont"/>
    <w:link w:val="CommentText"/>
    <w:uiPriority w:val="99"/>
    <w:semiHidden/>
    <w:rsid w:val="00205671"/>
    <w:rPr>
      <w:szCs w:val="20"/>
    </w:rPr>
  </w:style>
  <w:style w:type="character" w:customStyle="1" w:styleId="im">
    <w:name w:val="im"/>
    <w:basedOn w:val="DefaultParagraphFont"/>
    <w:rsid w:val="00EE7CB8"/>
  </w:style>
  <w:style w:type="paragraph" w:styleId="CommentSubject">
    <w:name w:val="annotation subject"/>
    <w:basedOn w:val="CommentText"/>
    <w:next w:val="CommentText"/>
    <w:link w:val="CommentSubjectChar"/>
    <w:uiPriority w:val="99"/>
    <w:semiHidden/>
    <w:unhideWhenUsed/>
    <w:rsid w:val="00B91785"/>
    <w:rPr>
      <w:b/>
      <w:bCs/>
    </w:rPr>
  </w:style>
  <w:style w:type="character" w:customStyle="1" w:styleId="CommentSubjectChar">
    <w:name w:val="Comment Subject Char"/>
    <w:basedOn w:val="CommentTextChar"/>
    <w:link w:val="CommentSubject"/>
    <w:uiPriority w:val="99"/>
    <w:semiHidden/>
    <w:rsid w:val="00B91785"/>
    <w:rPr>
      <w:b/>
      <w:bCs/>
      <w:szCs w:val="20"/>
    </w:rPr>
  </w:style>
  <w:style w:type="paragraph" w:styleId="Revision">
    <w:name w:val="Revision"/>
    <w:hidden/>
    <w:uiPriority w:val="99"/>
    <w:semiHidden/>
    <w:rsid w:val="00B91785"/>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llantis.com/en/investors/events/ev-day-2021" TargetMode="External"/><Relationship Id="rId3" Type="http://schemas.openxmlformats.org/officeDocument/2006/relationships/settings" Target="settings.xml"/><Relationship Id="rId7" Type="http://schemas.openxmlformats.org/officeDocument/2006/relationships/hyperlink" Target="https://www.stellantis.co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1379</Words>
  <Characters>7866</Characters>
  <Application>Microsoft Office Word</Application>
  <DocSecurity>0</DocSecurity>
  <Lines>65</Lines>
  <Paragraphs>18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신세민/ashin0/커뮤니케이션팀</dc:creator>
  <cp:keywords/>
  <dc:description/>
  <cp:lastModifiedBy>Paul Johnston</cp:lastModifiedBy>
  <cp:revision>3</cp:revision>
  <cp:lastPrinted>2021-10-13T07:55:00Z</cp:lastPrinted>
  <dcterms:created xsi:type="dcterms:W3CDTF">2021-10-21T14:57:00Z</dcterms:created>
  <dcterms:modified xsi:type="dcterms:W3CDTF">2021-10-21T19:38:00Z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2021-10-18T11:56:48Z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cf7ea021-f782-4078-be24-278ca3575375</vt:lpwstr>
  </property>
  <property fmtid="{D5CDD505-2E9C-101B-9397-08002B2CF9AE}" pid="8" name="MSIP_Label_2fd53d93-3f4c-4b90-b511-bd6bdbb4fba9_ContentBits">
    <vt:lpwstr>0</vt:lpwstr>
  </property>
  <property fmtid="{D5CDD505-2E9C-101B-9397-08002B2CF9AE}" pid="9" name="NSCPROP_SA">
    <vt:lpwstr>D:\#Personal Space\참고자료\EN_Stellantis and Samsung Form JV_Draft_10.19.21-track changes.docx</vt:lpwstr>
  </property>
</Properties>
</file>